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5E82" w14:textId="7E3B6E35" w:rsidR="0075099D" w:rsidRDefault="0075099D">
      <w:pPr>
        <w:pStyle w:val="Title"/>
      </w:pPr>
      <w:bookmarkStart w:id="0" w:name="_Hlk95125620"/>
      <w:r w:rsidRPr="00FC66E8">
        <w:rPr>
          <w:noProof/>
        </w:rPr>
        <w:drawing>
          <wp:anchor distT="0" distB="0" distL="114300" distR="114300" simplePos="0" relativeHeight="251658240" behindDoc="1" locked="0" layoutInCell="1" allowOverlap="1" wp14:anchorId="4548E900" wp14:editId="4A68AB66">
            <wp:simplePos x="0" y="0"/>
            <wp:positionH relativeFrom="margin">
              <wp:posOffset>2445269</wp:posOffset>
            </wp:positionH>
            <wp:positionV relativeFrom="paragraph">
              <wp:posOffset>-622300</wp:posOffset>
            </wp:positionV>
            <wp:extent cx="1419225" cy="13246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A4D89" w14:textId="18FFACD2" w:rsidR="0075099D" w:rsidRDefault="0075099D">
      <w:pPr>
        <w:pStyle w:val="Title"/>
      </w:pPr>
    </w:p>
    <w:p w14:paraId="353DBE20" w14:textId="56DA6465" w:rsidR="00A82777" w:rsidRPr="0075099D" w:rsidRDefault="007822DF" w:rsidP="0075099D">
      <w:pPr>
        <w:pStyle w:val="Title"/>
        <w:jc w:val="center"/>
        <w:rPr>
          <w:sz w:val="40"/>
          <w:szCs w:val="40"/>
        </w:rPr>
      </w:pPr>
      <w:r w:rsidRPr="0075099D">
        <w:rPr>
          <w:sz w:val="40"/>
          <w:szCs w:val="40"/>
        </w:rPr>
        <w:t>Graduation and Dropout Rates in Alaska</w:t>
      </w:r>
      <w:r w:rsidRPr="0075099D">
        <w:rPr>
          <w:spacing w:val="-59"/>
          <w:sz w:val="40"/>
          <w:szCs w:val="40"/>
        </w:rPr>
        <w:t xml:space="preserve"> </w:t>
      </w:r>
      <w:r w:rsidRPr="0075099D">
        <w:rPr>
          <w:sz w:val="40"/>
          <w:szCs w:val="40"/>
        </w:rPr>
        <w:t>Fact</w:t>
      </w:r>
      <w:r w:rsidRPr="0075099D">
        <w:rPr>
          <w:spacing w:val="-2"/>
          <w:sz w:val="40"/>
          <w:szCs w:val="40"/>
        </w:rPr>
        <w:t xml:space="preserve"> </w:t>
      </w:r>
      <w:r w:rsidRPr="0075099D">
        <w:rPr>
          <w:sz w:val="40"/>
          <w:szCs w:val="40"/>
        </w:rPr>
        <w:t>Sheet</w:t>
      </w:r>
    </w:p>
    <w:p w14:paraId="300E50B6" w14:textId="2868ADE3" w:rsidR="00A82777" w:rsidRDefault="007822DF" w:rsidP="0075099D">
      <w:pPr>
        <w:pStyle w:val="BodyText"/>
        <w:spacing w:before="284"/>
        <w:ind w:left="100" w:right="114"/>
        <w:jc w:val="both"/>
      </w:pPr>
      <w:r>
        <w:t xml:space="preserve">The </w:t>
      </w:r>
      <w:r>
        <w:rPr>
          <w:b/>
        </w:rPr>
        <w:t xml:space="preserve">graduation rate </w:t>
      </w:r>
      <w:r>
        <w:t>methodology reflects a federal mandate requiring all 50 states to use a uniform</w:t>
      </w:r>
      <w:r>
        <w:rPr>
          <w:spacing w:val="1"/>
        </w:rPr>
        <w:t xml:space="preserve"> </w:t>
      </w:r>
      <w:r>
        <w:t xml:space="preserve">graduation rate that is to be reported for all public high schools in the country. This rate, known as the </w:t>
      </w:r>
      <w:r>
        <w:rPr>
          <w:i/>
        </w:rPr>
        <w:t>Four</w:t>
      </w:r>
      <w:r>
        <w:rPr>
          <w:i/>
          <w:spacing w:val="-46"/>
        </w:rPr>
        <w:t xml:space="preserve"> </w:t>
      </w:r>
      <w:r>
        <w:rPr>
          <w:i/>
        </w:rPr>
        <w:t xml:space="preserve">Year Adjusted Cohort Graduation Rate, </w:t>
      </w:r>
      <w:r>
        <w:t xml:space="preserve">was first implemented in Alaska </w:t>
      </w:r>
      <w:r w:rsidR="0075099D">
        <w:t>during</w:t>
      </w:r>
      <w:r>
        <w:t xml:space="preserve"> the 2010-2011 school year. All</w:t>
      </w:r>
      <w:r>
        <w:rPr>
          <w:spacing w:val="1"/>
        </w:rPr>
        <w:t xml:space="preserve"> </w:t>
      </w:r>
      <w:r>
        <w:t>50 states were required to utilize the new adjusted cohort graduation rate for accountability purposes</w:t>
      </w:r>
      <w:r>
        <w:rPr>
          <w:spacing w:val="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2011-2012 school year.</w:t>
      </w:r>
    </w:p>
    <w:p w14:paraId="670DD9CE" w14:textId="3EE2E33B" w:rsidR="00A82777" w:rsidRDefault="007822DF" w:rsidP="0075099D">
      <w:pPr>
        <w:pStyle w:val="BodyText"/>
        <w:ind w:left="100" w:right="115"/>
        <w:jc w:val="both"/>
      </w:pPr>
      <w:r>
        <w:t>Under this new methodology</w:t>
      </w:r>
      <w:r w:rsidR="0075099D">
        <w:t>,</w:t>
      </w:r>
      <w:r>
        <w:t xml:space="preserve"> a cohort graduation year is assigned to each ninth grade student in the fall of</w:t>
      </w:r>
      <w:r>
        <w:rPr>
          <w:spacing w:val="1"/>
        </w:rPr>
        <w:t xml:space="preserve"> </w:t>
      </w:r>
      <w:r>
        <w:t>their initial entry. The expectation of the adjusted cohort graduation rate is that the student will graduate</w:t>
      </w:r>
      <w:r>
        <w:rPr>
          <w:spacing w:val="1"/>
        </w:rPr>
        <w:t xml:space="preserve"> </w:t>
      </w:r>
      <w:r>
        <w:t xml:space="preserve">within four years. For example, a student who entered ninth grade in the </w:t>
      </w:r>
      <w:r w:rsidR="0075099D">
        <w:t>2</w:t>
      </w:r>
      <w:r w:rsidR="00072667">
        <w:t>021-2022</w:t>
      </w:r>
      <w:r>
        <w:t xml:space="preserve"> school year would be</w:t>
      </w:r>
      <w:r>
        <w:rPr>
          <w:spacing w:val="1"/>
        </w:rPr>
        <w:t xml:space="preserve"> </w:t>
      </w:r>
      <w:r>
        <w:t xml:space="preserve">considered part of the </w:t>
      </w:r>
      <w:r w:rsidR="0075099D">
        <w:t>202</w:t>
      </w:r>
      <w:r w:rsidR="00072667">
        <w:t>4-2025</w:t>
      </w:r>
      <w:r>
        <w:t xml:space="preserve"> graduation cohort group. A student may be added to the cohort as a</w:t>
      </w:r>
      <w:r>
        <w:rPr>
          <w:spacing w:val="1"/>
        </w:rPr>
        <w:t xml:space="preserve"> </w:t>
      </w:r>
      <w:r>
        <w:t>transfer into the public school system or removed from the cohort upon transfer to an education program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track.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deceased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group.</w:t>
      </w:r>
    </w:p>
    <w:p w14:paraId="07469425" w14:textId="0CD6561C" w:rsidR="00A82777" w:rsidRDefault="007822DF" w:rsidP="0075099D">
      <w:pPr>
        <w:pStyle w:val="BodyText"/>
        <w:ind w:left="100" w:right="115"/>
        <w:jc w:val="both"/>
      </w:pPr>
      <w:r>
        <w:t xml:space="preserve">A </w:t>
      </w:r>
      <w:r w:rsidRPr="0075099D">
        <w:rPr>
          <w:b/>
          <w:bCs/>
        </w:rPr>
        <w:t xml:space="preserve">graduate </w:t>
      </w:r>
      <w:r>
        <w:t>is defined as a student who has received a regular diploma from a state or district approved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evidenced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receipt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diploma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authorities.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does</w:t>
      </w:r>
      <w:r>
        <w:rPr>
          <w:spacing w:val="-4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 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GED.</w:t>
      </w:r>
    </w:p>
    <w:p w14:paraId="63D2619E" w14:textId="00E45CA5" w:rsidR="00A82777" w:rsidRDefault="007822DF" w:rsidP="004E1F69">
      <w:pPr>
        <w:pStyle w:val="BodyText"/>
        <w:ind w:left="100" w:right="113"/>
        <w:jc w:val="both"/>
      </w:pPr>
      <w:r>
        <w:t>The</w:t>
      </w:r>
      <w:r>
        <w:rPr>
          <w:spacing w:val="-10"/>
        </w:rPr>
        <w:t xml:space="preserve"> </w:t>
      </w:r>
      <w:r w:rsidRPr="001653F4">
        <w:rPr>
          <w:b/>
          <w:bCs/>
        </w:rPr>
        <w:t>Adjusted</w:t>
      </w:r>
      <w:r w:rsidRPr="001653F4">
        <w:rPr>
          <w:b/>
          <w:bCs/>
          <w:spacing w:val="-10"/>
        </w:rPr>
        <w:t xml:space="preserve"> </w:t>
      </w:r>
      <w:r w:rsidRPr="001653F4">
        <w:rPr>
          <w:b/>
          <w:bCs/>
        </w:rPr>
        <w:t>Cohort</w:t>
      </w:r>
      <w:r w:rsidRPr="001653F4">
        <w:rPr>
          <w:b/>
          <w:bCs/>
          <w:spacing w:val="-10"/>
        </w:rPr>
        <w:t xml:space="preserve"> </w:t>
      </w:r>
      <w:r w:rsidRPr="001653F4">
        <w:rPr>
          <w:b/>
          <w:bCs/>
        </w:rPr>
        <w:t>Graduation</w:t>
      </w:r>
      <w:r w:rsidRPr="001653F4">
        <w:rPr>
          <w:b/>
          <w:bCs/>
          <w:spacing w:val="-11"/>
        </w:rPr>
        <w:t xml:space="preserve"> </w:t>
      </w:r>
      <w:r w:rsidRPr="001653F4">
        <w:rPr>
          <w:b/>
          <w:bCs/>
        </w:rPr>
        <w:t>Rate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calculated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numerator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graduates</w:t>
      </w:r>
      <w:r>
        <w:rPr>
          <w:spacing w:val="-9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 cohort who receive a regular diploma on or before June 30. The denominator is the count of all students</w:t>
      </w:r>
      <w:r w:rsidR="001653F4">
        <w:t xml:space="preserve"> </w:t>
      </w:r>
      <w:r>
        <w:rPr>
          <w:spacing w:val="-46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 the cohort.</w:t>
      </w:r>
      <w:bookmarkEnd w:id="0"/>
    </w:p>
    <w:p w14:paraId="18F7E330" w14:textId="3D3DD717" w:rsidR="00A82777" w:rsidRDefault="00A82777">
      <w:pPr>
        <w:tabs>
          <w:tab w:val="left" w:pos="2260"/>
          <w:tab w:val="left" w:pos="4420"/>
        </w:tabs>
        <w:ind w:left="820"/>
        <w:rPr>
          <w:b/>
          <w:sz w:val="16"/>
        </w:rPr>
      </w:pPr>
    </w:p>
    <w:tbl>
      <w:tblPr>
        <w:tblW w:w="5160" w:type="dxa"/>
        <w:tblInd w:w="2560" w:type="dxa"/>
        <w:tblLook w:val="04A0" w:firstRow="1" w:lastRow="0" w:firstColumn="1" w:lastColumn="0" w:noHBand="0" w:noVBand="1"/>
      </w:tblPr>
      <w:tblGrid>
        <w:gridCol w:w="1380"/>
        <w:gridCol w:w="1880"/>
        <w:gridCol w:w="1900"/>
      </w:tblGrid>
      <w:tr w:rsidR="004E1F69" w:rsidRPr="004E1F69" w14:paraId="2665F1DC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7F6CB02D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4E1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</w:rPr>
              <w:t>School Year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07AFB1B3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4E1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</w:rPr>
              <w:t>Graduation Rate</w:t>
            </w:r>
            <w:r w:rsidRPr="004E1F6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u w:val="single"/>
              </w:rPr>
              <w:t>*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14:paraId="7A40E389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</w:rPr>
            </w:pPr>
            <w:r w:rsidRPr="004E1F69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u w:val="single"/>
              </w:rPr>
              <w:t>Graduate Count</w:t>
            </w:r>
            <w:r w:rsidRPr="004E1F6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u w:val="single"/>
              </w:rPr>
              <w:t>**</w:t>
            </w:r>
          </w:p>
        </w:tc>
      </w:tr>
      <w:tr w:rsidR="004E1F69" w:rsidRPr="004E1F69" w14:paraId="2EDC6D7C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FFC5EC3" w14:textId="77777777" w:rsidR="004E1F69" w:rsidRPr="004E1F69" w:rsidRDefault="004E1F69" w:rsidP="004E1F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FCC3082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61.40%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576DEAFA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6,905</w:t>
            </w:r>
          </w:p>
        </w:tc>
      </w:tr>
      <w:tr w:rsidR="004E1F69" w:rsidRPr="004E1F69" w14:paraId="4E02F7EC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96100C4" w14:textId="77777777" w:rsidR="004E1F69" w:rsidRPr="004E1F69" w:rsidRDefault="004E1F69" w:rsidP="004E1F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9674D6B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61.60%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0B12097F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7,361</w:t>
            </w:r>
          </w:p>
        </w:tc>
      </w:tr>
      <w:tr w:rsidR="004E1F69" w:rsidRPr="004E1F69" w14:paraId="1F456313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2EDE7B5" w14:textId="77777777" w:rsidR="004E1F69" w:rsidRPr="004E1F69" w:rsidRDefault="004E1F69" w:rsidP="004E1F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BDEF5D3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63.00%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13898F26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7,666</w:t>
            </w:r>
          </w:p>
        </w:tc>
      </w:tr>
      <w:tr w:rsidR="004E1F69" w:rsidRPr="004E1F69" w14:paraId="35EF7E9E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43F68135" w14:textId="77777777" w:rsidR="004E1F69" w:rsidRPr="004E1F69" w:rsidRDefault="004E1F69" w:rsidP="004E1F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62C795A9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62.60%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1DC55235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7,855</w:t>
            </w:r>
          </w:p>
        </w:tc>
      </w:tr>
      <w:tr w:rsidR="004E1F69" w:rsidRPr="004E1F69" w14:paraId="386D4C98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FD93230" w14:textId="77777777" w:rsidR="004E1F69" w:rsidRPr="004E1F69" w:rsidRDefault="004E1F69" w:rsidP="004E1F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0A673D86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67.50%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35AFE83D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8,008</w:t>
            </w:r>
          </w:p>
        </w:tc>
      </w:tr>
      <w:tr w:rsidR="004E1F69" w:rsidRPr="004E1F69" w14:paraId="2FFE7D2C" w14:textId="77777777" w:rsidTr="004E1F69">
        <w:trPr>
          <w:trHeight w:val="300"/>
        </w:trPr>
        <w:tc>
          <w:tcPr>
            <w:tcW w:w="1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420344A" w14:textId="77777777" w:rsidR="004E1F69" w:rsidRPr="004E1F69" w:rsidRDefault="004E1F69" w:rsidP="004E1F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8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282E940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67.40%</w:t>
            </w:r>
          </w:p>
        </w:tc>
        <w:tc>
          <w:tcPr>
            <w:tcW w:w="19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33B2B72" w14:textId="77777777" w:rsidR="004E1F69" w:rsidRPr="004E1F69" w:rsidRDefault="004E1F69" w:rsidP="004E1F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8,245</w:t>
            </w:r>
          </w:p>
        </w:tc>
      </w:tr>
    </w:tbl>
    <w:p w14:paraId="4A3747CF" w14:textId="2A6BC821" w:rsidR="00A82777" w:rsidRDefault="00B41CA8">
      <w:pPr>
        <w:pStyle w:val="BodyText"/>
        <w:spacing w:before="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A6E66" wp14:editId="72055068">
                <wp:simplePos x="0" y="0"/>
                <wp:positionH relativeFrom="column">
                  <wp:posOffset>1569720</wp:posOffset>
                </wp:positionH>
                <wp:positionV relativeFrom="paragraph">
                  <wp:posOffset>174625</wp:posOffset>
                </wp:positionV>
                <wp:extent cx="32461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ADB6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3.75pt" to="37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" strokecolor="#4579b8 [304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DB37" wp14:editId="20C9EA2F">
                <wp:simplePos x="0" y="0"/>
                <wp:positionH relativeFrom="column">
                  <wp:posOffset>1572260</wp:posOffset>
                </wp:positionH>
                <wp:positionV relativeFrom="paragraph">
                  <wp:posOffset>121920</wp:posOffset>
                </wp:positionV>
                <wp:extent cx="32461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7D23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9.6pt" to="37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" strokecolor="#4579b8 [3044]"/>
            </w:pict>
          </mc:Fallback>
        </mc:AlternateContent>
      </w:r>
    </w:p>
    <w:tbl>
      <w:tblPr>
        <w:tblStyle w:val="GridTable4-Accent1"/>
        <w:tblW w:w="5160" w:type="dxa"/>
        <w:tblInd w:w="2560" w:type="dxa"/>
        <w:tblLook w:val="04A0" w:firstRow="1" w:lastRow="0" w:firstColumn="1" w:lastColumn="0" w:noHBand="0" w:noVBand="1"/>
      </w:tblPr>
      <w:tblGrid>
        <w:gridCol w:w="1380"/>
        <w:gridCol w:w="1880"/>
        <w:gridCol w:w="1900"/>
      </w:tblGrid>
      <w:tr w:rsidR="004E1F69" w:rsidRPr="004E1F69" w14:paraId="41DAE7D8" w14:textId="77777777" w:rsidTr="004A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14:paraId="38352CB1" w14:textId="24784C1D" w:rsidR="004E1F69" w:rsidRPr="004E1F69" w:rsidRDefault="004E1F69" w:rsidP="004E1F6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u w:val="single"/>
              </w:rPr>
            </w:pPr>
            <w:r w:rsidRPr="004E1F69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>School Year</w:t>
            </w:r>
          </w:p>
        </w:tc>
        <w:tc>
          <w:tcPr>
            <w:tcW w:w="1880" w:type="dxa"/>
            <w:noWrap/>
            <w:hideMark/>
          </w:tcPr>
          <w:p w14:paraId="6B004309" w14:textId="465C8A58" w:rsidR="004E1F69" w:rsidRPr="004E1F69" w:rsidRDefault="004E1F69" w:rsidP="004E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u w:val="single"/>
              </w:rPr>
            </w:pPr>
            <w:r w:rsidRPr="004E1F69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>Graduation Rate</w:t>
            </w:r>
            <w:r w:rsidRPr="004E1F69">
              <w:rPr>
                <w:rFonts w:ascii="Calibri" w:eastAsia="Times New Roman" w:hAnsi="Calibri" w:cs="Calibri"/>
                <w:color w:val="FFFFFF"/>
                <w:sz w:val="16"/>
                <w:szCs w:val="16"/>
                <w:u w:val="single"/>
              </w:rPr>
              <w:t>*</w:t>
            </w:r>
          </w:p>
        </w:tc>
        <w:tc>
          <w:tcPr>
            <w:tcW w:w="1900" w:type="dxa"/>
            <w:noWrap/>
            <w:hideMark/>
          </w:tcPr>
          <w:p w14:paraId="0418AE14" w14:textId="77777777" w:rsidR="004E1F69" w:rsidRPr="004E1F69" w:rsidRDefault="004E1F69" w:rsidP="004E1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u w:val="single"/>
              </w:rPr>
            </w:pPr>
            <w:r w:rsidRPr="004E1F69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>Graduate Count</w:t>
            </w:r>
            <w:r w:rsidRPr="004E1F69">
              <w:rPr>
                <w:rFonts w:ascii="Calibri" w:eastAsia="Times New Roman" w:hAnsi="Calibri" w:cs="Calibri"/>
                <w:color w:val="FFFFFF"/>
                <w:sz w:val="16"/>
                <w:szCs w:val="16"/>
                <w:u w:val="single"/>
              </w:rPr>
              <w:t>**</w:t>
            </w:r>
          </w:p>
        </w:tc>
      </w:tr>
      <w:tr w:rsidR="004E1F69" w:rsidRPr="004E1F69" w14:paraId="6EE6AB62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05FD1440" w14:textId="101A6B3C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880" w:type="dxa"/>
            <w:hideMark/>
          </w:tcPr>
          <w:p w14:paraId="58FE995D" w14:textId="2A1980A9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68.00%</w:t>
            </w:r>
          </w:p>
        </w:tc>
        <w:tc>
          <w:tcPr>
            <w:tcW w:w="1900" w:type="dxa"/>
            <w:hideMark/>
          </w:tcPr>
          <w:p w14:paraId="3A4E74E1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8,064</w:t>
            </w:r>
          </w:p>
        </w:tc>
      </w:tr>
      <w:tr w:rsidR="004E1F69" w:rsidRPr="004E1F69" w14:paraId="31578220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2249D207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880" w:type="dxa"/>
            <w:hideMark/>
          </w:tcPr>
          <w:p w14:paraId="050B211A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69.60%</w:t>
            </w:r>
          </w:p>
        </w:tc>
        <w:tc>
          <w:tcPr>
            <w:tcW w:w="1900" w:type="dxa"/>
            <w:hideMark/>
          </w:tcPr>
          <w:p w14:paraId="17018BA9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7,989</w:t>
            </w:r>
          </w:p>
        </w:tc>
      </w:tr>
      <w:tr w:rsidR="004E1F69" w:rsidRPr="004E1F69" w14:paraId="679B424E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0527D427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880" w:type="dxa"/>
            <w:hideMark/>
          </w:tcPr>
          <w:p w14:paraId="64029D6E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71.80%</w:t>
            </w:r>
          </w:p>
        </w:tc>
        <w:tc>
          <w:tcPr>
            <w:tcW w:w="1900" w:type="dxa"/>
            <w:hideMark/>
          </w:tcPr>
          <w:p w14:paraId="535E66D1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7,861</w:t>
            </w:r>
          </w:p>
        </w:tc>
      </w:tr>
      <w:tr w:rsidR="004E1F69" w:rsidRPr="004E1F69" w14:paraId="186C3BC8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4A4B9722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80" w:type="dxa"/>
            <w:hideMark/>
          </w:tcPr>
          <w:p w14:paraId="50F1C34D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71.10%</w:t>
            </w:r>
          </w:p>
        </w:tc>
        <w:tc>
          <w:tcPr>
            <w:tcW w:w="1900" w:type="dxa"/>
            <w:hideMark/>
          </w:tcPr>
          <w:p w14:paraId="65DE338B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7,668</w:t>
            </w:r>
          </w:p>
        </w:tc>
      </w:tr>
      <w:tr w:rsidR="004E1F69" w:rsidRPr="004E1F69" w14:paraId="39E9CDCB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0B3E2ACC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880" w:type="dxa"/>
            <w:hideMark/>
          </w:tcPr>
          <w:p w14:paraId="6AFC7DFE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75.6%</w:t>
            </w:r>
            <w:r w:rsidRPr="004E1F6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900" w:type="dxa"/>
            <w:hideMark/>
          </w:tcPr>
          <w:p w14:paraId="737A67B7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8,253</w:t>
            </w:r>
            <w:r w:rsidRPr="004E1F6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***</w:t>
            </w:r>
          </w:p>
        </w:tc>
      </w:tr>
      <w:tr w:rsidR="004E1F69" w:rsidRPr="004E1F69" w14:paraId="4BC21124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5988B764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lastRenderedPageBreak/>
              <w:t>2015-2016</w:t>
            </w:r>
          </w:p>
        </w:tc>
        <w:tc>
          <w:tcPr>
            <w:tcW w:w="1880" w:type="dxa"/>
            <w:hideMark/>
          </w:tcPr>
          <w:p w14:paraId="6CF05E94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76.1%</w:t>
            </w:r>
            <w:r w:rsidRPr="004E1F6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900" w:type="dxa"/>
            <w:hideMark/>
          </w:tcPr>
          <w:p w14:paraId="5C693924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8,108</w:t>
            </w:r>
            <w:r w:rsidRPr="004E1F69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****</w:t>
            </w:r>
          </w:p>
        </w:tc>
      </w:tr>
      <w:tr w:rsidR="004E1F69" w:rsidRPr="004E1F69" w14:paraId="16BAF856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6F185D9A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880" w:type="dxa"/>
            <w:hideMark/>
          </w:tcPr>
          <w:p w14:paraId="14CBE0BF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78.20%</w:t>
            </w:r>
          </w:p>
        </w:tc>
        <w:tc>
          <w:tcPr>
            <w:tcW w:w="1900" w:type="dxa"/>
            <w:hideMark/>
          </w:tcPr>
          <w:p w14:paraId="6C79C657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8,385</w:t>
            </w:r>
          </w:p>
        </w:tc>
      </w:tr>
      <w:tr w:rsidR="004E1F69" w:rsidRPr="004E1F69" w14:paraId="670B6BAE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noWrap/>
            <w:hideMark/>
          </w:tcPr>
          <w:p w14:paraId="1DD5B11E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  <w:t>2017-2018</w:t>
            </w:r>
          </w:p>
        </w:tc>
        <w:tc>
          <w:tcPr>
            <w:tcW w:w="1880" w:type="dxa"/>
            <w:noWrap/>
            <w:hideMark/>
          </w:tcPr>
          <w:p w14:paraId="29F89661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78.50%</w:t>
            </w:r>
          </w:p>
        </w:tc>
        <w:tc>
          <w:tcPr>
            <w:tcW w:w="1900" w:type="dxa"/>
            <w:noWrap/>
            <w:hideMark/>
          </w:tcPr>
          <w:p w14:paraId="40ADCFD8" w14:textId="311D9D59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</w:t>
            </w:r>
            <w:r w:rsidR="00BE06E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,</w:t>
            </w: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454</w:t>
            </w:r>
          </w:p>
        </w:tc>
      </w:tr>
      <w:tr w:rsidR="004E1F69" w:rsidRPr="004E1F69" w14:paraId="7357E81C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3C2EE6BA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  <w:t>2018-2019</w:t>
            </w:r>
          </w:p>
        </w:tc>
        <w:tc>
          <w:tcPr>
            <w:tcW w:w="1880" w:type="dxa"/>
            <w:hideMark/>
          </w:tcPr>
          <w:p w14:paraId="6E56325A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80.40%</w:t>
            </w:r>
          </w:p>
        </w:tc>
        <w:tc>
          <w:tcPr>
            <w:tcW w:w="1900" w:type="dxa"/>
            <w:hideMark/>
          </w:tcPr>
          <w:p w14:paraId="7BD69D27" w14:textId="582A1FB2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</w:t>
            </w:r>
            <w:r w:rsidR="00BE06E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,</w:t>
            </w: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459</w:t>
            </w:r>
          </w:p>
        </w:tc>
      </w:tr>
      <w:tr w:rsidR="004E1F69" w:rsidRPr="004E1F69" w14:paraId="303EF790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0E707F9F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  <w:t>2019-2020</w:t>
            </w:r>
          </w:p>
        </w:tc>
        <w:tc>
          <w:tcPr>
            <w:tcW w:w="1880" w:type="dxa"/>
            <w:hideMark/>
          </w:tcPr>
          <w:p w14:paraId="0CDCBD93" w14:textId="77777777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79.04%</w:t>
            </w:r>
          </w:p>
        </w:tc>
        <w:tc>
          <w:tcPr>
            <w:tcW w:w="1900" w:type="dxa"/>
            <w:hideMark/>
          </w:tcPr>
          <w:p w14:paraId="0B615678" w14:textId="630ECAA0" w:rsidR="004E1F69" w:rsidRPr="004E1F69" w:rsidRDefault="004E1F69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8</w:t>
            </w:r>
            <w:r w:rsidR="00BE06E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,</w:t>
            </w: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008</w:t>
            </w:r>
          </w:p>
        </w:tc>
      </w:tr>
      <w:tr w:rsidR="004E1F69" w:rsidRPr="004E1F69" w14:paraId="504EBFEC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hideMark/>
          </w:tcPr>
          <w:p w14:paraId="7AAC0B1A" w14:textId="77777777" w:rsidR="004E1F69" w:rsidRPr="004A0815" w:rsidRDefault="004E1F69" w:rsidP="004E1F69">
            <w:pPr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  <w:t>2020-2021</w:t>
            </w:r>
          </w:p>
        </w:tc>
        <w:tc>
          <w:tcPr>
            <w:tcW w:w="1880" w:type="dxa"/>
            <w:hideMark/>
          </w:tcPr>
          <w:p w14:paraId="3532E2B3" w14:textId="77777777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78.09%</w:t>
            </w:r>
          </w:p>
        </w:tc>
        <w:tc>
          <w:tcPr>
            <w:tcW w:w="1900" w:type="dxa"/>
            <w:hideMark/>
          </w:tcPr>
          <w:p w14:paraId="7C2FC969" w14:textId="49804998" w:rsidR="004E1F69" w:rsidRPr="004E1F69" w:rsidRDefault="004E1F69" w:rsidP="004E1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</w:t>
            </w:r>
            <w:r w:rsidR="00BE06E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,</w:t>
            </w:r>
            <w:r w:rsidRPr="004E1F69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958</w:t>
            </w:r>
          </w:p>
        </w:tc>
      </w:tr>
      <w:tr w:rsidR="00072667" w:rsidRPr="004E1F69" w14:paraId="3450301E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14:paraId="257D5BDD" w14:textId="0F339072" w:rsidR="00072667" w:rsidRPr="004A0815" w:rsidRDefault="00072667" w:rsidP="004E1F69">
            <w:pPr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sz w:val="22"/>
                <w:szCs w:val="22"/>
              </w:rPr>
              <w:t>2021-2022</w:t>
            </w:r>
          </w:p>
        </w:tc>
        <w:tc>
          <w:tcPr>
            <w:tcW w:w="1880" w:type="dxa"/>
          </w:tcPr>
          <w:p w14:paraId="5539F48A" w14:textId="1453B8B0" w:rsidR="00072667" w:rsidRPr="004E1F69" w:rsidRDefault="004A0815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77.85%</w:t>
            </w:r>
          </w:p>
        </w:tc>
        <w:tc>
          <w:tcPr>
            <w:tcW w:w="1900" w:type="dxa"/>
          </w:tcPr>
          <w:p w14:paraId="2B67485F" w14:textId="59943485" w:rsidR="00072667" w:rsidRPr="004E1F69" w:rsidRDefault="004A0815" w:rsidP="004E1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7</w:t>
            </w:r>
            <w:r w:rsidR="00BE06E3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950</w:t>
            </w:r>
          </w:p>
        </w:tc>
      </w:tr>
    </w:tbl>
    <w:p w14:paraId="645EB626" w14:textId="77777777" w:rsidR="001653F4" w:rsidRDefault="001653F4">
      <w:pPr>
        <w:rPr>
          <w:rFonts w:ascii="Arial"/>
          <w:sz w:val="16"/>
        </w:rPr>
      </w:pPr>
    </w:p>
    <w:p w14:paraId="207ECD63" w14:textId="77777777" w:rsidR="001653F4" w:rsidRDefault="001653F4" w:rsidP="001653F4">
      <w:pPr>
        <w:spacing w:before="79"/>
        <w:jc w:val="both"/>
      </w:pPr>
      <w:r>
        <w:t>*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2010-2011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methodology</w:t>
      </w:r>
      <w:r>
        <w:rPr>
          <w:spacing w:val="-2"/>
        </w:rPr>
        <w:t xml:space="preserve"> </w:t>
      </w:r>
      <w:r>
        <w:t>below:</w:t>
      </w:r>
    </w:p>
    <w:p w14:paraId="20D4DE46" w14:textId="57CB03E1" w:rsidR="001653F4" w:rsidRDefault="001653F4" w:rsidP="00A12D9B">
      <w:pPr>
        <w:spacing w:before="1"/>
        <w:ind w:left="820" w:right="121"/>
        <w:jc w:val="both"/>
      </w:pPr>
      <w:r>
        <w:rPr>
          <w:i/>
        </w:rPr>
        <w:t>The Graduation Rate is reported as a fraction. The numerator is the sum of the number of graduates receiving a</w:t>
      </w:r>
      <w:r>
        <w:rPr>
          <w:i/>
          <w:spacing w:val="1"/>
        </w:rPr>
        <w:t xml:space="preserve"> </w:t>
      </w:r>
      <w:r>
        <w:rPr>
          <w:i/>
        </w:rPr>
        <w:t>regular diploma before June 30. The denominator is the sum of the number of graduates, plus the number of</w:t>
      </w:r>
      <w:r>
        <w:rPr>
          <w:i/>
          <w:spacing w:val="1"/>
        </w:rPr>
        <w:t xml:space="preserve"> </w:t>
      </w:r>
      <w:r>
        <w:rPr>
          <w:i/>
        </w:rPr>
        <w:t>dropouts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grade</w:t>
      </w:r>
      <w:r>
        <w:rPr>
          <w:i/>
          <w:spacing w:val="-7"/>
        </w:rPr>
        <w:t xml:space="preserve"> </w:t>
      </w:r>
      <w:r>
        <w:rPr>
          <w:i/>
        </w:rPr>
        <w:t>nine</w:t>
      </w:r>
      <w:r>
        <w:rPr>
          <w:i/>
          <w:spacing w:val="-8"/>
        </w:rPr>
        <w:t xml:space="preserve"> </w:t>
      </w:r>
      <w:r>
        <w:rPr>
          <w:i/>
        </w:rPr>
        <w:t>three</w:t>
      </w:r>
      <w:r>
        <w:rPr>
          <w:i/>
          <w:spacing w:val="-4"/>
        </w:rPr>
        <w:t xml:space="preserve"> </w:t>
      </w:r>
      <w:r>
        <w:rPr>
          <w:i/>
        </w:rPr>
        <w:t>school</w:t>
      </w:r>
      <w:r>
        <w:rPr>
          <w:i/>
          <w:spacing w:val="-6"/>
        </w:rPr>
        <w:t xml:space="preserve"> </w:t>
      </w:r>
      <w:r>
        <w:rPr>
          <w:i/>
        </w:rPr>
        <w:t>years</w:t>
      </w:r>
      <w:r>
        <w:rPr>
          <w:i/>
          <w:spacing w:val="-7"/>
        </w:rPr>
        <w:t xml:space="preserve"> </w:t>
      </w:r>
      <w:r>
        <w:rPr>
          <w:i/>
        </w:rPr>
        <w:t>prior,</w:t>
      </w:r>
      <w:r>
        <w:rPr>
          <w:i/>
          <w:spacing w:val="-8"/>
        </w:rPr>
        <w:t xml:space="preserve"> </w:t>
      </w:r>
      <w:r>
        <w:rPr>
          <w:i/>
        </w:rPr>
        <w:t>plus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number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unduplicated</w:t>
      </w:r>
      <w:r>
        <w:rPr>
          <w:i/>
          <w:spacing w:val="-8"/>
        </w:rPr>
        <w:t xml:space="preserve"> </w:t>
      </w:r>
      <w:r>
        <w:rPr>
          <w:i/>
        </w:rPr>
        <w:t>dropouts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grade</w:t>
      </w:r>
      <w:r>
        <w:rPr>
          <w:i/>
          <w:spacing w:val="-9"/>
        </w:rPr>
        <w:t xml:space="preserve"> </w:t>
      </w:r>
      <w:r>
        <w:rPr>
          <w:i/>
        </w:rPr>
        <w:t>ten</w:t>
      </w:r>
      <w:r>
        <w:rPr>
          <w:i/>
          <w:spacing w:val="-9"/>
        </w:rPr>
        <w:t xml:space="preserve"> </w:t>
      </w:r>
      <w:r>
        <w:rPr>
          <w:i/>
        </w:rPr>
        <w:t>two</w:t>
      </w:r>
      <w:r>
        <w:rPr>
          <w:i/>
          <w:spacing w:val="-8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years</w:t>
      </w:r>
      <w:r>
        <w:rPr>
          <w:i/>
          <w:spacing w:val="-6"/>
        </w:rPr>
        <w:t xml:space="preserve"> </w:t>
      </w:r>
      <w:r>
        <w:rPr>
          <w:i/>
        </w:rPr>
        <w:t>prior,</w:t>
      </w:r>
      <w:r>
        <w:rPr>
          <w:i/>
          <w:spacing w:val="-2"/>
        </w:rPr>
        <w:t xml:space="preserve"> </w:t>
      </w:r>
      <w:r>
        <w:rPr>
          <w:i/>
        </w:rPr>
        <w:t>plus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number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unduplicated</w:t>
      </w:r>
      <w:r>
        <w:rPr>
          <w:i/>
          <w:spacing w:val="-5"/>
        </w:rPr>
        <w:t xml:space="preserve"> </w:t>
      </w:r>
      <w:r>
        <w:rPr>
          <w:i/>
        </w:rPr>
        <w:t>dropouts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grade</w:t>
      </w:r>
      <w:r>
        <w:rPr>
          <w:i/>
          <w:spacing w:val="-6"/>
        </w:rPr>
        <w:t xml:space="preserve"> </w:t>
      </w:r>
      <w:r>
        <w:rPr>
          <w:i/>
        </w:rPr>
        <w:t>eleven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prior</w:t>
      </w:r>
      <w:r>
        <w:rPr>
          <w:i/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7"/>
        </w:rPr>
        <w:t xml:space="preserve"> </w:t>
      </w:r>
      <w:r>
        <w:rPr>
          <w:i/>
        </w:rPr>
        <w:t>year,</w:t>
      </w:r>
      <w:r>
        <w:rPr>
          <w:i/>
          <w:spacing w:val="-5"/>
        </w:rPr>
        <w:t xml:space="preserve"> </w:t>
      </w:r>
      <w:r>
        <w:rPr>
          <w:i/>
        </w:rPr>
        <w:t>plus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unduplicated</w:t>
      </w:r>
      <w:r>
        <w:rPr>
          <w:i/>
          <w:spacing w:val="-3"/>
        </w:rPr>
        <w:t xml:space="preserve"> </w:t>
      </w:r>
      <w:r>
        <w:rPr>
          <w:i/>
        </w:rPr>
        <w:t>dropouts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grade</w:t>
      </w:r>
      <w:r>
        <w:rPr>
          <w:i/>
          <w:spacing w:val="-4"/>
        </w:rPr>
        <w:t xml:space="preserve"> </w:t>
      </w:r>
      <w:r>
        <w:rPr>
          <w:i/>
        </w:rPr>
        <w:t>12</w:t>
      </w:r>
      <w:r>
        <w:rPr>
          <w:i/>
          <w:spacing w:val="-1"/>
        </w:rPr>
        <w:t xml:space="preserve"> </w:t>
      </w:r>
      <w:r>
        <w:rPr>
          <w:i/>
        </w:rPr>
        <w:t>during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current year,</w:t>
      </w:r>
      <w:r>
        <w:rPr>
          <w:i/>
          <w:spacing w:val="-3"/>
        </w:rPr>
        <w:t xml:space="preserve"> </w:t>
      </w:r>
      <w:r>
        <w:rPr>
          <w:i/>
        </w:rPr>
        <w:t>plus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number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grade</w:t>
      </w:r>
      <w:r>
        <w:rPr>
          <w:i/>
          <w:spacing w:val="-3"/>
        </w:rPr>
        <w:t xml:space="preserve"> </w:t>
      </w:r>
      <w:r>
        <w:rPr>
          <w:i/>
        </w:rPr>
        <w:t>12</w:t>
      </w:r>
      <w:r>
        <w:rPr>
          <w:i/>
          <w:spacing w:val="-2"/>
        </w:rPr>
        <w:t xml:space="preserve"> </w:t>
      </w:r>
      <w:r>
        <w:rPr>
          <w:i/>
        </w:rPr>
        <w:t>continuing</w:t>
      </w:r>
      <w:r>
        <w:rPr>
          <w:i/>
          <w:spacing w:val="6"/>
        </w:rPr>
        <w:t xml:space="preserve"> </w:t>
      </w:r>
      <w:r>
        <w:rPr>
          <w:i/>
        </w:rPr>
        <w:t>students</w:t>
      </w:r>
      <w:r>
        <w:t>.</w:t>
      </w:r>
    </w:p>
    <w:p w14:paraId="2260C175" w14:textId="77777777" w:rsidR="00A12D9B" w:rsidRDefault="00A12D9B" w:rsidP="00A12D9B">
      <w:pPr>
        <w:spacing w:before="1"/>
        <w:ind w:left="820" w:right="121"/>
        <w:jc w:val="both"/>
      </w:pPr>
    </w:p>
    <w:p w14:paraId="76CF7C6A" w14:textId="74EA5C80" w:rsidR="001653F4" w:rsidRDefault="001653F4" w:rsidP="00A12D9B">
      <w:pPr>
        <w:ind w:left="100" w:right="115"/>
        <w:jc w:val="both"/>
      </w:pPr>
      <w:r>
        <w:t>** Graduate count represents any student who graduated with a regular diploma during the school year (July 1-June</w:t>
      </w:r>
      <w:r>
        <w:rPr>
          <w:spacing w:val="1"/>
        </w:rPr>
        <w:t xml:space="preserve"> </w:t>
      </w:r>
      <w:r>
        <w:t>30). This number differs substantially from the count of graduates in the four-year cohort, as used in the four-year</w:t>
      </w:r>
      <w:r>
        <w:rPr>
          <w:spacing w:val="1"/>
        </w:rPr>
        <w:t xml:space="preserve"> </w:t>
      </w:r>
      <w:r>
        <w:t>adjusted</w:t>
      </w:r>
      <w:r>
        <w:rPr>
          <w:spacing w:val="-2"/>
        </w:rPr>
        <w:t xml:space="preserve"> </w:t>
      </w:r>
      <w:r>
        <w:t>cohort</w:t>
      </w:r>
      <w:r>
        <w:rPr>
          <w:spacing w:val="1"/>
        </w:rPr>
        <w:t xml:space="preserve"> </w:t>
      </w:r>
      <w:r>
        <w:t>graduation rate</w:t>
      </w:r>
      <w:r>
        <w:rPr>
          <w:spacing w:val="-3"/>
        </w:rPr>
        <w:t xml:space="preserve"> </w:t>
      </w:r>
      <w:r>
        <w:t>calculation.</w:t>
      </w:r>
    </w:p>
    <w:p w14:paraId="5DEB80C7" w14:textId="77777777" w:rsidR="00A12D9B" w:rsidRDefault="00A12D9B" w:rsidP="00A12D9B">
      <w:pPr>
        <w:ind w:left="100" w:right="115"/>
        <w:jc w:val="both"/>
      </w:pPr>
    </w:p>
    <w:p w14:paraId="366AB31C" w14:textId="2EB829E3" w:rsidR="001653F4" w:rsidRDefault="001653F4" w:rsidP="00A12D9B">
      <w:pPr>
        <w:ind w:left="100" w:right="114"/>
        <w:jc w:val="both"/>
      </w:pPr>
      <w:r>
        <w:t>*** The High School Graduation Qualifying Examination (HSGQE) was removed as a graduation requirement on July 1,</w:t>
      </w:r>
      <w:r>
        <w:rPr>
          <w:spacing w:val="1"/>
        </w:rPr>
        <w:t xml:space="preserve"> </w:t>
      </w:r>
      <w:r>
        <w:t>2014. The 2014-2015 cohort group is the first to be affected by this change. Also, the count of 2014-2015 graduates</w:t>
      </w:r>
      <w:r>
        <w:rPr>
          <w:spacing w:val="1"/>
        </w:rPr>
        <w:t xml:space="preserve"> </w:t>
      </w:r>
      <w:r>
        <w:t>includes any student who received a Certificate of Achievement during the 2013-2014 school year and received a</w:t>
      </w:r>
      <w:r>
        <w:rPr>
          <w:spacing w:val="1"/>
        </w:rPr>
        <w:t xml:space="preserve"> </w:t>
      </w:r>
      <w:r>
        <w:t>retroactive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2014-2015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 because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HSGQE</w:t>
      </w:r>
      <w:r>
        <w:rPr>
          <w:spacing w:val="1"/>
        </w:rPr>
        <w:t xml:space="preserve"> </w:t>
      </w:r>
      <w:r>
        <w:t>repeal.</w:t>
      </w:r>
    </w:p>
    <w:p w14:paraId="6A2BA9E7" w14:textId="77777777" w:rsidR="00A12D9B" w:rsidRDefault="00A12D9B" w:rsidP="00A12D9B">
      <w:pPr>
        <w:ind w:left="100" w:right="114"/>
        <w:jc w:val="both"/>
      </w:pPr>
    </w:p>
    <w:p w14:paraId="36661722" w14:textId="398E3880" w:rsidR="001653F4" w:rsidRDefault="001653F4" w:rsidP="001653F4">
      <w:pPr>
        <w:ind w:left="100" w:right="122"/>
        <w:jc w:val="both"/>
      </w:pPr>
      <w:r>
        <w:t>****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valid</w:t>
      </w:r>
      <w:r>
        <w:rPr>
          <w:spacing w:val="-9"/>
        </w:rPr>
        <w:t xml:space="preserve"> </w:t>
      </w:r>
      <w:r>
        <w:t>score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Career</w:t>
      </w:r>
      <w:r>
        <w:rPr>
          <w:spacing w:val="-8"/>
        </w:rPr>
        <w:t xml:space="preserve"> </w:t>
      </w:r>
      <w:r>
        <w:t>Ready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(CCRA)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graduation</w:t>
      </w:r>
      <w:r>
        <w:rPr>
          <w:spacing w:val="-8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30, 2016. This led to a one-day sunset (on June 30, 2016) on which students who had not received a valid CCRA score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 issued</w:t>
      </w:r>
      <w:r>
        <w:rPr>
          <w:spacing w:val="-1"/>
        </w:rPr>
        <w:t xml:space="preserve"> </w:t>
      </w:r>
      <w:r>
        <w:t>a diploma.</w:t>
      </w:r>
    </w:p>
    <w:p w14:paraId="201A61D7" w14:textId="2F2838B1" w:rsidR="003D2EE3" w:rsidRDefault="003D2EE3" w:rsidP="003D2EE3">
      <w:pPr>
        <w:ind w:right="122"/>
        <w:jc w:val="both"/>
      </w:pPr>
    </w:p>
    <w:p w14:paraId="4FA0595B" w14:textId="77777777" w:rsidR="003D2EE3" w:rsidRDefault="003D2EE3" w:rsidP="003D2EE3">
      <w:pPr>
        <w:pStyle w:val="BodyText"/>
        <w:spacing w:before="1"/>
        <w:ind w:left="100" w:right="115"/>
        <w:jc w:val="both"/>
      </w:pPr>
      <w:r>
        <w:rPr>
          <w:b/>
        </w:rPr>
        <w:t xml:space="preserve">NOTE: </w:t>
      </w:r>
      <w:r>
        <w:t>There is often confusion between graduation rates and dropout rates. Dropout rates are event rates;</w:t>
      </w:r>
      <w:r>
        <w:rPr>
          <w:spacing w:val="1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four years. Dropout rates are calculated by dividing the total number of students dropping out of public</w:t>
      </w:r>
      <w:r>
        <w:rPr>
          <w:spacing w:val="1"/>
        </w:rPr>
        <w:t xml:space="preserve"> </w:t>
      </w:r>
      <w:r>
        <w:t>school, in grades 7-12, by the October 1</w:t>
      </w:r>
      <w:r w:rsidRPr="009921F1">
        <w:rPr>
          <w:vertAlign w:val="superscript"/>
        </w:rPr>
        <w:t>st</w:t>
      </w:r>
      <w:r>
        <w:t xml:space="preserve"> enrollment count for all students in grades 7-12. Graduation rates</w:t>
      </w:r>
      <w:r>
        <w:rPr>
          <w:spacing w:val="1"/>
        </w:rPr>
        <w:t xml:space="preserve"> </w:t>
      </w:r>
      <w:r>
        <w:t>and dropout rates are calculated independent from each other and are not the inverse of each other. Also, a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dropout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 reporting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counted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dropout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year.</w:t>
      </w:r>
    </w:p>
    <w:p w14:paraId="059244A7" w14:textId="77777777" w:rsidR="001653F4" w:rsidRDefault="001653F4" w:rsidP="001653F4">
      <w:pPr>
        <w:pStyle w:val="BodyText"/>
        <w:spacing w:before="11"/>
        <w:rPr>
          <w:sz w:val="23"/>
        </w:rPr>
      </w:pPr>
    </w:p>
    <w:p w14:paraId="57607137" w14:textId="2D173535" w:rsidR="001653F4" w:rsidRDefault="001653F4" w:rsidP="001653F4">
      <w:pPr>
        <w:ind w:left="100"/>
        <w:jc w:val="both"/>
      </w:pP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 w:rsidR="005476E9">
        <w:rPr>
          <w:b/>
          <w:sz w:val="22"/>
        </w:rPr>
        <w:t>Dropout Rate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methodology</w:t>
      </w:r>
      <w:r>
        <w:rPr>
          <w:spacing w:val="-3"/>
          <w:sz w:val="22"/>
        </w:rPr>
        <w:t xml:space="preserve"> </w:t>
      </w:r>
      <w:r>
        <w:rPr>
          <w:sz w:val="22"/>
        </w:rPr>
        <w:t>is defined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state</w:t>
      </w:r>
      <w:r>
        <w:rPr>
          <w:spacing w:val="-5"/>
          <w:sz w:val="22"/>
        </w:rPr>
        <w:t xml:space="preserve"> </w:t>
      </w:r>
      <w:r>
        <w:rPr>
          <w:sz w:val="22"/>
        </w:rPr>
        <w:t>regulation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2"/>
          <w:sz w:val="22"/>
        </w:rPr>
        <w:t xml:space="preserve"> </w:t>
      </w:r>
      <w:r>
        <w:rPr>
          <w:b/>
          <w:sz w:val="22"/>
        </w:rPr>
        <w:t>4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AAC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06.895(i)(3)</w:t>
      </w:r>
      <w:r>
        <w:rPr>
          <w:sz w:val="22"/>
        </w:rPr>
        <w:t>:</w:t>
      </w:r>
    </w:p>
    <w:p w14:paraId="29E42DD0" w14:textId="77777777" w:rsidR="001653F4" w:rsidRDefault="001653F4" w:rsidP="001653F4">
      <w:pPr>
        <w:pStyle w:val="BodyText"/>
      </w:pPr>
    </w:p>
    <w:p w14:paraId="31BE4E71" w14:textId="77777777" w:rsidR="001653F4" w:rsidRDefault="001653F4" w:rsidP="001653F4">
      <w:pPr>
        <w:pStyle w:val="BodyText"/>
        <w:ind w:left="820" w:right="275"/>
      </w:pPr>
      <w:r>
        <w:lastRenderedPageBreak/>
        <w:t>[F]or grades 7-12, the dropout rate is a fraction, the numerator of which is the number of students</w:t>
      </w:r>
      <w:r>
        <w:rPr>
          <w:spacing w:val="-47"/>
        </w:rPr>
        <w:t xml:space="preserve"> </w:t>
      </w:r>
      <w:r>
        <w:t>who have dropped out in the current school year, and the denominator of which is the number of</w:t>
      </w:r>
      <w:r>
        <w:rPr>
          <w:spacing w:val="1"/>
        </w:rPr>
        <w:t xml:space="preserve"> </w:t>
      </w:r>
      <w:r>
        <w:t>students enrolled in</w:t>
      </w:r>
      <w:r>
        <w:rPr>
          <w:spacing w:val="-1"/>
        </w:rPr>
        <w:t xml:space="preserve"> </w:t>
      </w:r>
      <w:r>
        <w:t>grades 7-12 on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of the current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year…</w:t>
      </w:r>
    </w:p>
    <w:p w14:paraId="6CD422A2" w14:textId="77777777" w:rsidR="001653F4" w:rsidRDefault="001653F4" w:rsidP="001653F4">
      <w:pPr>
        <w:pStyle w:val="BodyText"/>
      </w:pPr>
    </w:p>
    <w:p w14:paraId="6D0BD06C" w14:textId="40814CAB" w:rsidR="001653F4" w:rsidRDefault="001653F4" w:rsidP="005476E9">
      <w:pPr>
        <w:pStyle w:val="BodyText"/>
        <w:spacing w:before="1"/>
        <w:ind w:left="100" w:right="139"/>
      </w:pPr>
      <w:r>
        <w:t xml:space="preserve">A student is </w:t>
      </w:r>
      <w:r w:rsidRPr="005476E9">
        <w:rPr>
          <w:b/>
          <w:bCs/>
        </w:rPr>
        <w:t>not</w:t>
      </w:r>
      <w:r>
        <w:t xml:space="preserve"> considered a dropout if his or her departure was due to the completion of a state- or</w:t>
      </w:r>
      <w:r>
        <w:rPr>
          <w:spacing w:val="1"/>
        </w:rPr>
        <w:t xml:space="preserve"> </w:t>
      </w:r>
      <w:r>
        <w:t>district-approved education program; transfer to a public school, private school, or state- or district-</w:t>
      </w:r>
      <w:r>
        <w:rPr>
          <w:spacing w:val="1"/>
        </w:rPr>
        <w:t xml:space="preserve"> </w:t>
      </w:r>
      <w:r>
        <w:t>approved education program; temporary absence caused by suspension, illness, or medical condition; or</w:t>
      </w:r>
      <w:r>
        <w:rPr>
          <w:spacing w:val="1"/>
        </w:rPr>
        <w:t xml:space="preserve"> </w:t>
      </w:r>
      <w:r>
        <w:t>death. A student in pursuit of a General Educational Development (GED) certificate is considered a dropout,</w:t>
      </w:r>
      <w:r>
        <w:rPr>
          <w:spacing w:val="-47"/>
        </w:rPr>
        <w:t xml:space="preserve"> </w:t>
      </w:r>
      <w:r>
        <w:t>as defined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Center for</w:t>
      </w:r>
      <w:r>
        <w:rPr>
          <w:spacing w:val="-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Statistics.</w:t>
      </w:r>
    </w:p>
    <w:p w14:paraId="3D071170" w14:textId="5FCFAD72" w:rsidR="004E1F69" w:rsidRDefault="001653F4" w:rsidP="004E1F69">
      <w:pPr>
        <w:pStyle w:val="BodyText"/>
        <w:ind w:left="100" w:right="715"/>
      </w:pPr>
      <w:r>
        <w:t>A student who drops out multiple times during a school year is only counted once in the dropout rate</w:t>
      </w:r>
      <w:r>
        <w:rPr>
          <w:spacing w:val="-46"/>
        </w:rPr>
        <w:t xml:space="preserve"> </w:t>
      </w:r>
      <w:r>
        <w:t>numerator.</w:t>
      </w:r>
    </w:p>
    <w:p w14:paraId="4BD95370" w14:textId="77777777" w:rsidR="001653F4" w:rsidRDefault="001653F4" w:rsidP="001653F4">
      <w:pPr>
        <w:pStyle w:val="BodyText"/>
        <w:spacing w:before="11"/>
        <w:rPr>
          <w:sz w:val="21"/>
        </w:rPr>
      </w:pPr>
    </w:p>
    <w:tbl>
      <w:tblPr>
        <w:tblStyle w:val="GridTable4-Accent1"/>
        <w:tblW w:w="6326" w:type="dxa"/>
        <w:tblInd w:w="2464" w:type="dxa"/>
        <w:tblLook w:val="04A0" w:firstRow="1" w:lastRow="0" w:firstColumn="1" w:lastColumn="0" w:noHBand="0" w:noVBand="1"/>
      </w:tblPr>
      <w:tblGrid>
        <w:gridCol w:w="1920"/>
        <w:gridCol w:w="1526"/>
        <w:gridCol w:w="2880"/>
      </w:tblGrid>
      <w:tr w:rsidR="00BD232D" w:rsidRPr="00BD232D" w14:paraId="6C2F2865" w14:textId="77777777" w:rsidTr="004A0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noWrap/>
            <w:hideMark/>
          </w:tcPr>
          <w:p w14:paraId="3F1B8AB4" w14:textId="77777777" w:rsidR="00BD232D" w:rsidRPr="00BD232D" w:rsidRDefault="00BD232D" w:rsidP="00BD232D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u w:val="single"/>
              </w:rPr>
            </w:pPr>
            <w:r w:rsidRPr="00BD232D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>School Year</w:t>
            </w:r>
          </w:p>
        </w:tc>
        <w:tc>
          <w:tcPr>
            <w:tcW w:w="1526" w:type="dxa"/>
            <w:noWrap/>
            <w:hideMark/>
          </w:tcPr>
          <w:p w14:paraId="1EA4EAD1" w14:textId="77777777" w:rsidR="00BD232D" w:rsidRPr="00BD232D" w:rsidRDefault="00BD232D" w:rsidP="004A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u w:val="single"/>
              </w:rPr>
            </w:pPr>
            <w:r w:rsidRPr="00BD232D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>Dropout Rate</w:t>
            </w:r>
          </w:p>
        </w:tc>
        <w:tc>
          <w:tcPr>
            <w:tcW w:w="2880" w:type="dxa"/>
            <w:noWrap/>
            <w:hideMark/>
          </w:tcPr>
          <w:p w14:paraId="37D11C15" w14:textId="6B1740B1" w:rsidR="00BD232D" w:rsidRPr="00BD232D" w:rsidRDefault="00B85503" w:rsidP="00BD23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2"/>
                <w:szCs w:val="22"/>
                <w:u w:val="single"/>
              </w:rPr>
            </w:pPr>
            <w:r w:rsidRPr="00BD232D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>Dropout</w:t>
            </w:r>
            <w:r w:rsidR="00BD232D" w:rsidRPr="00BD232D">
              <w:rPr>
                <w:rFonts w:ascii="Calibri" w:eastAsia="Times New Roman" w:hAnsi="Calibri" w:cs="Calibri"/>
                <w:color w:val="FFFFFF"/>
                <w:sz w:val="22"/>
                <w:szCs w:val="22"/>
                <w:u w:val="single"/>
              </w:rPr>
              <w:t xml:space="preserve"> Count (Grades 7-12)</w:t>
            </w:r>
          </w:p>
        </w:tc>
      </w:tr>
      <w:tr w:rsidR="00BD232D" w:rsidRPr="00BD232D" w14:paraId="36D7FF6E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682D9191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1526" w:type="dxa"/>
            <w:hideMark/>
          </w:tcPr>
          <w:p w14:paraId="373650A7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6.00%</w:t>
            </w:r>
          </w:p>
        </w:tc>
        <w:tc>
          <w:tcPr>
            <w:tcW w:w="2880" w:type="dxa"/>
            <w:hideMark/>
          </w:tcPr>
          <w:p w14:paraId="39C0DC80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3,791</w:t>
            </w:r>
          </w:p>
        </w:tc>
      </w:tr>
      <w:tr w:rsidR="00BD232D" w:rsidRPr="00BD232D" w14:paraId="7D4E4D55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176EEC24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1526" w:type="dxa"/>
            <w:hideMark/>
          </w:tcPr>
          <w:p w14:paraId="1565D801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5.80%</w:t>
            </w:r>
          </w:p>
        </w:tc>
        <w:tc>
          <w:tcPr>
            <w:tcW w:w="2880" w:type="dxa"/>
            <w:hideMark/>
          </w:tcPr>
          <w:p w14:paraId="7F1C574E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3,642</w:t>
            </w:r>
          </w:p>
        </w:tc>
      </w:tr>
      <w:tr w:rsidR="00BD232D" w:rsidRPr="00BD232D" w14:paraId="248B6B50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3FF9BBC7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526" w:type="dxa"/>
            <w:hideMark/>
          </w:tcPr>
          <w:p w14:paraId="6AA58B8B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5.50%</w:t>
            </w:r>
          </w:p>
        </w:tc>
        <w:tc>
          <w:tcPr>
            <w:tcW w:w="2880" w:type="dxa"/>
            <w:hideMark/>
          </w:tcPr>
          <w:p w14:paraId="6BE753EC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3,434</w:t>
            </w:r>
          </w:p>
        </w:tc>
      </w:tr>
      <w:tr w:rsidR="00BD232D" w:rsidRPr="00BD232D" w14:paraId="5724FEA4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13A0A92B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1526" w:type="dxa"/>
            <w:hideMark/>
          </w:tcPr>
          <w:p w14:paraId="15868694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5.20%</w:t>
            </w:r>
          </w:p>
        </w:tc>
        <w:tc>
          <w:tcPr>
            <w:tcW w:w="2880" w:type="dxa"/>
            <w:hideMark/>
          </w:tcPr>
          <w:p w14:paraId="64E598D5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3,232</w:t>
            </w:r>
          </w:p>
        </w:tc>
      </w:tr>
      <w:tr w:rsidR="00BD232D" w:rsidRPr="00BD232D" w14:paraId="28588D6E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4149BC8F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1526" w:type="dxa"/>
            <w:hideMark/>
          </w:tcPr>
          <w:p w14:paraId="44D391C4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5.20%</w:t>
            </w:r>
          </w:p>
        </w:tc>
        <w:tc>
          <w:tcPr>
            <w:tcW w:w="2880" w:type="dxa"/>
            <w:hideMark/>
          </w:tcPr>
          <w:p w14:paraId="038BE18D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3,146</w:t>
            </w:r>
          </w:p>
        </w:tc>
      </w:tr>
      <w:tr w:rsidR="00BD232D" w:rsidRPr="00BD232D" w14:paraId="115252CE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68367912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526" w:type="dxa"/>
            <w:hideMark/>
          </w:tcPr>
          <w:p w14:paraId="0CCF85A7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5.00%</w:t>
            </w:r>
          </w:p>
        </w:tc>
        <w:tc>
          <w:tcPr>
            <w:tcW w:w="2880" w:type="dxa"/>
            <w:hideMark/>
          </w:tcPr>
          <w:p w14:paraId="1047108B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2,990</w:t>
            </w:r>
          </w:p>
        </w:tc>
      </w:tr>
      <w:tr w:rsidR="00BD232D" w:rsidRPr="00BD232D" w14:paraId="70394385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1E3F660E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2010-2011</w:t>
            </w:r>
          </w:p>
        </w:tc>
        <w:tc>
          <w:tcPr>
            <w:tcW w:w="1526" w:type="dxa"/>
            <w:hideMark/>
          </w:tcPr>
          <w:p w14:paraId="013AE9ED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4.70%</w:t>
            </w:r>
          </w:p>
        </w:tc>
        <w:tc>
          <w:tcPr>
            <w:tcW w:w="2880" w:type="dxa"/>
            <w:hideMark/>
          </w:tcPr>
          <w:p w14:paraId="4C2CDD79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2,779</w:t>
            </w:r>
          </w:p>
        </w:tc>
      </w:tr>
      <w:tr w:rsidR="00BD232D" w:rsidRPr="00BD232D" w14:paraId="4DBE02C7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5FE04571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526" w:type="dxa"/>
            <w:hideMark/>
          </w:tcPr>
          <w:p w14:paraId="39D4F145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4.80%</w:t>
            </w:r>
          </w:p>
        </w:tc>
        <w:tc>
          <w:tcPr>
            <w:tcW w:w="2880" w:type="dxa"/>
            <w:hideMark/>
          </w:tcPr>
          <w:p w14:paraId="3938A927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2,830</w:t>
            </w:r>
          </w:p>
        </w:tc>
      </w:tr>
      <w:tr w:rsidR="00BD232D" w:rsidRPr="00BD232D" w14:paraId="2763BFB4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0D7D5C52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526" w:type="dxa"/>
            <w:hideMark/>
          </w:tcPr>
          <w:p w14:paraId="1D4B68F8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2880" w:type="dxa"/>
            <w:hideMark/>
          </w:tcPr>
          <w:p w14:paraId="7106A7E4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2,364</w:t>
            </w:r>
          </w:p>
        </w:tc>
      </w:tr>
      <w:tr w:rsidR="00BD232D" w:rsidRPr="00BD232D" w14:paraId="4504DF8C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38BE2931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526" w:type="dxa"/>
            <w:hideMark/>
          </w:tcPr>
          <w:p w14:paraId="723F1D9B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4.00%</w:t>
            </w:r>
          </w:p>
        </w:tc>
        <w:tc>
          <w:tcPr>
            <w:tcW w:w="2880" w:type="dxa"/>
            <w:hideMark/>
          </w:tcPr>
          <w:p w14:paraId="7A5FB738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2,303</w:t>
            </w:r>
          </w:p>
        </w:tc>
      </w:tr>
      <w:tr w:rsidR="00BD232D" w:rsidRPr="00BD232D" w14:paraId="4A0C7432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6700CF9B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526" w:type="dxa"/>
            <w:hideMark/>
          </w:tcPr>
          <w:p w14:paraId="25294DAB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3.70%</w:t>
            </w:r>
          </w:p>
        </w:tc>
        <w:tc>
          <w:tcPr>
            <w:tcW w:w="2880" w:type="dxa"/>
            <w:hideMark/>
          </w:tcPr>
          <w:p w14:paraId="3C95633A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2,141</w:t>
            </w:r>
          </w:p>
        </w:tc>
      </w:tr>
      <w:tr w:rsidR="00BD232D" w:rsidRPr="00BD232D" w14:paraId="69752864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5AD290FB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526" w:type="dxa"/>
            <w:hideMark/>
          </w:tcPr>
          <w:p w14:paraId="5B10DFD3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3.90%</w:t>
            </w:r>
          </w:p>
        </w:tc>
        <w:tc>
          <w:tcPr>
            <w:tcW w:w="2880" w:type="dxa"/>
            <w:hideMark/>
          </w:tcPr>
          <w:p w14:paraId="3167780C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2,268</w:t>
            </w:r>
          </w:p>
        </w:tc>
      </w:tr>
      <w:tr w:rsidR="00BD232D" w:rsidRPr="00BD232D" w14:paraId="041DCAF6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4E9B81D5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526" w:type="dxa"/>
            <w:hideMark/>
          </w:tcPr>
          <w:p w14:paraId="3ED0ABBC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3.50%</w:t>
            </w:r>
          </w:p>
        </w:tc>
        <w:tc>
          <w:tcPr>
            <w:tcW w:w="2880" w:type="dxa"/>
            <w:hideMark/>
          </w:tcPr>
          <w:p w14:paraId="66591F97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2,003</w:t>
            </w:r>
          </w:p>
        </w:tc>
      </w:tr>
      <w:tr w:rsidR="00BD232D" w:rsidRPr="00BD232D" w14:paraId="4863B355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05FFF073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526" w:type="dxa"/>
            <w:hideMark/>
          </w:tcPr>
          <w:p w14:paraId="46B81E47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3.08%</w:t>
            </w:r>
          </w:p>
        </w:tc>
        <w:tc>
          <w:tcPr>
            <w:tcW w:w="2880" w:type="dxa"/>
            <w:hideMark/>
          </w:tcPr>
          <w:p w14:paraId="206E73F8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1,784</w:t>
            </w:r>
          </w:p>
        </w:tc>
      </w:tr>
      <w:tr w:rsidR="00BD232D" w:rsidRPr="00BD232D" w14:paraId="75EA2395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33E38D3C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526" w:type="dxa"/>
            <w:hideMark/>
          </w:tcPr>
          <w:p w14:paraId="3BAE09F8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3.01%</w:t>
            </w:r>
          </w:p>
        </w:tc>
        <w:tc>
          <w:tcPr>
            <w:tcW w:w="2880" w:type="dxa"/>
            <w:hideMark/>
          </w:tcPr>
          <w:p w14:paraId="1EC13A66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1,730</w:t>
            </w:r>
          </w:p>
        </w:tc>
      </w:tr>
      <w:tr w:rsidR="00BD232D" w:rsidRPr="00BD232D" w14:paraId="1A15B44F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326404BD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526" w:type="dxa"/>
            <w:hideMark/>
          </w:tcPr>
          <w:p w14:paraId="42169902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2.75%</w:t>
            </w:r>
          </w:p>
        </w:tc>
        <w:tc>
          <w:tcPr>
            <w:tcW w:w="2880" w:type="dxa"/>
            <w:hideMark/>
          </w:tcPr>
          <w:p w14:paraId="77F8AD1A" w14:textId="77777777" w:rsidR="00BD232D" w:rsidRPr="00BD232D" w:rsidRDefault="00BD232D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1,590</w:t>
            </w:r>
          </w:p>
        </w:tc>
      </w:tr>
      <w:tr w:rsidR="00BD232D" w:rsidRPr="00BD232D" w14:paraId="5421F580" w14:textId="77777777" w:rsidTr="004A0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  <w:hideMark/>
          </w:tcPr>
          <w:p w14:paraId="4DB309E6" w14:textId="77777777" w:rsidR="00BD232D" w:rsidRPr="004A0815" w:rsidRDefault="00BD232D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526" w:type="dxa"/>
            <w:hideMark/>
          </w:tcPr>
          <w:p w14:paraId="688F962B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3.11%</w:t>
            </w:r>
          </w:p>
        </w:tc>
        <w:tc>
          <w:tcPr>
            <w:tcW w:w="2880" w:type="dxa"/>
            <w:hideMark/>
          </w:tcPr>
          <w:p w14:paraId="6780D2C0" w14:textId="77777777" w:rsidR="00BD232D" w:rsidRPr="00BD232D" w:rsidRDefault="00BD232D" w:rsidP="00BD2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BD232D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1,806</w:t>
            </w:r>
          </w:p>
        </w:tc>
      </w:tr>
      <w:tr w:rsidR="004A0815" w:rsidRPr="00BD232D" w14:paraId="4897A861" w14:textId="77777777" w:rsidTr="004A08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0" w:type="dxa"/>
          </w:tcPr>
          <w:p w14:paraId="60384852" w14:textId="35C05D8E" w:rsidR="004A0815" w:rsidRPr="004A0815" w:rsidRDefault="004A0815" w:rsidP="00BD232D">
            <w:pPr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</w:pPr>
            <w:r w:rsidRPr="004A0815">
              <w:rPr>
                <w:rFonts w:ascii="Cambria" w:eastAsia="Times New Roman" w:hAnsi="Cambria" w:cs="Calibri"/>
                <w:b w:val="0"/>
                <w:bCs w:val="0"/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1526" w:type="dxa"/>
          </w:tcPr>
          <w:p w14:paraId="6A3B4AE0" w14:textId="6F984764" w:rsidR="004A0815" w:rsidRPr="00BD232D" w:rsidRDefault="004A0815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3.68%</w:t>
            </w:r>
          </w:p>
        </w:tc>
        <w:tc>
          <w:tcPr>
            <w:tcW w:w="2880" w:type="dxa"/>
          </w:tcPr>
          <w:p w14:paraId="7FB47273" w14:textId="2350E5F5" w:rsidR="004A0815" w:rsidRPr="00BD232D" w:rsidRDefault="004A0815" w:rsidP="00BD2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2,164</w:t>
            </w:r>
          </w:p>
        </w:tc>
      </w:tr>
    </w:tbl>
    <w:p w14:paraId="0D8B590E" w14:textId="0F5ADB49" w:rsidR="00B16A23" w:rsidRPr="00B16A23" w:rsidRDefault="00B16A23" w:rsidP="00B16A23">
      <w:pPr>
        <w:tabs>
          <w:tab w:val="left" w:pos="3576"/>
        </w:tabs>
      </w:pPr>
    </w:p>
    <w:sectPr w:rsidR="00B16A23" w:rsidRPr="00B16A23">
      <w:footerReference w:type="default" r:id="rId8"/>
      <w:pgSz w:w="12240" w:h="15840"/>
      <w:pgMar w:top="1360" w:right="960" w:bottom="1260" w:left="98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BF49" w14:textId="77777777" w:rsidR="006A5E4D" w:rsidRDefault="007822DF">
      <w:pPr>
        <w:spacing w:after="0" w:line="240" w:lineRule="auto"/>
      </w:pPr>
      <w:r>
        <w:separator/>
      </w:r>
    </w:p>
  </w:endnote>
  <w:endnote w:type="continuationSeparator" w:id="0">
    <w:p w14:paraId="540980F8" w14:textId="77777777" w:rsidR="006A5E4D" w:rsidRDefault="0078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005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747332" w14:textId="77777777" w:rsidR="005862B6" w:rsidRDefault="005862B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CB93076" w14:textId="77777777" w:rsidR="005862B6" w:rsidRPr="009921F1" w:rsidRDefault="005862B6" w:rsidP="005862B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Style w:val="BookTitle"/>
          </w:rPr>
        </w:pPr>
        <w:r w:rsidRPr="009921F1">
          <w:rPr>
            <w:rStyle w:val="BookTitle"/>
          </w:rPr>
          <w:t>Alaska Department of Education &amp; Early Development</w:t>
        </w:r>
      </w:p>
      <w:p w14:paraId="0EB6D2A5" w14:textId="485A64C6" w:rsidR="00A82777" w:rsidRPr="005862B6" w:rsidRDefault="005862B6" w:rsidP="005862B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mallCaps/>
          </w:rPr>
        </w:pPr>
        <w:r w:rsidRPr="009921F1">
          <w:rPr>
            <w:rStyle w:val="BookTitle"/>
          </w:rPr>
          <w:t>Updated</w:t>
        </w:r>
        <w:r>
          <w:rPr>
            <w:rStyle w:val="BookTitle"/>
          </w:rPr>
          <w:t>: February 7,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F604" w14:textId="77777777" w:rsidR="006A5E4D" w:rsidRDefault="007822DF">
      <w:pPr>
        <w:spacing w:after="0" w:line="240" w:lineRule="auto"/>
      </w:pPr>
      <w:r>
        <w:separator/>
      </w:r>
    </w:p>
  </w:footnote>
  <w:footnote w:type="continuationSeparator" w:id="0">
    <w:p w14:paraId="370786F4" w14:textId="77777777" w:rsidR="006A5E4D" w:rsidRDefault="0078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777"/>
    <w:rsid w:val="00072667"/>
    <w:rsid w:val="001653F4"/>
    <w:rsid w:val="003D2EE3"/>
    <w:rsid w:val="00437BFC"/>
    <w:rsid w:val="004A0815"/>
    <w:rsid w:val="004E1F69"/>
    <w:rsid w:val="005476E9"/>
    <w:rsid w:val="005862B6"/>
    <w:rsid w:val="006021F1"/>
    <w:rsid w:val="00630987"/>
    <w:rsid w:val="006A5E4D"/>
    <w:rsid w:val="0075099D"/>
    <w:rsid w:val="007822DF"/>
    <w:rsid w:val="009921F1"/>
    <w:rsid w:val="00A12D9B"/>
    <w:rsid w:val="00A82777"/>
    <w:rsid w:val="00B04315"/>
    <w:rsid w:val="00B16A23"/>
    <w:rsid w:val="00B41CA8"/>
    <w:rsid w:val="00B66BBD"/>
    <w:rsid w:val="00B85503"/>
    <w:rsid w:val="00BD232D"/>
    <w:rsid w:val="00BE06E3"/>
    <w:rsid w:val="00E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C6DF"/>
  <w15:docId w15:val="{07D5599D-28F0-47BB-A043-3932494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9D"/>
  </w:style>
  <w:style w:type="paragraph" w:styleId="Heading1">
    <w:name w:val="heading 1"/>
    <w:basedOn w:val="Normal"/>
    <w:next w:val="Normal"/>
    <w:link w:val="Heading1Char"/>
    <w:uiPriority w:val="9"/>
    <w:qFormat/>
    <w:rsid w:val="007509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9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9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9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9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9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9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9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9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Cambria" w:eastAsia="Cambria" w:hAnsi="Cambria" w:cs="Cambr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509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line="238" w:lineRule="exact"/>
      <w:ind w:left="50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8A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8AB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0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9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99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99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99D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99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99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9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99D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9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75099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9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9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5099D"/>
    <w:rPr>
      <w:b/>
      <w:bCs/>
    </w:rPr>
  </w:style>
  <w:style w:type="character" w:styleId="Emphasis">
    <w:name w:val="Emphasis"/>
    <w:basedOn w:val="DefaultParagraphFont"/>
    <w:uiPriority w:val="20"/>
    <w:qFormat/>
    <w:rsid w:val="0075099D"/>
    <w:rPr>
      <w:i/>
      <w:iCs/>
    </w:rPr>
  </w:style>
  <w:style w:type="paragraph" w:styleId="NoSpacing">
    <w:name w:val="No Spacing"/>
    <w:uiPriority w:val="1"/>
    <w:qFormat/>
    <w:rsid w:val="007509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09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99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99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99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099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099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099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099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099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99D"/>
    <w:pPr>
      <w:outlineLvl w:val="9"/>
    </w:pPr>
  </w:style>
  <w:style w:type="table" w:styleId="GridTable5Dark-Accent1">
    <w:name w:val="Grid Table 5 Dark Accent 1"/>
    <w:basedOn w:val="TableNormal"/>
    <w:uiPriority w:val="50"/>
    <w:rsid w:val="004A08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A081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1878-50AC-4952-A7CE-3B6DA8C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Dropout Rates in Alaska</vt:lpstr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Dropout Rates in Alaska</dc:title>
  <dc:creator>Erik Mccormick</dc:creator>
  <cp:lastModifiedBy>Zaguirre, Aiko B (EED)</cp:lastModifiedBy>
  <cp:revision>4</cp:revision>
  <dcterms:created xsi:type="dcterms:W3CDTF">2023-02-07T22:52:00Z</dcterms:created>
  <dcterms:modified xsi:type="dcterms:W3CDTF">2023-02-08T19:48:00Z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