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16"/>
        <w:tblW w:w="1465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7"/>
      </w:tblGrid>
      <w:tr w:rsidR="001E5C74" w:rsidTr="001E5C74">
        <w:trPr>
          <w:trHeight w:val="1142"/>
        </w:trPr>
        <w:tc>
          <w:tcPr>
            <w:tcW w:w="14657" w:type="dxa"/>
            <w:shd w:val="clear" w:color="auto" w:fill="00FE73"/>
            <w:vAlign w:val="center"/>
          </w:tcPr>
          <w:p w:rsidR="001E5C74" w:rsidRPr="0041284E" w:rsidRDefault="001E5C74" w:rsidP="001E5C74">
            <w:pPr>
              <w:rPr>
                <w:rFonts w:asciiTheme="majorHAnsi" w:hAnsiTheme="majorHAnsi"/>
                <w:color w:val="FFFFFF" w:themeColor="background1"/>
                <w:sz w:val="40"/>
              </w:rPr>
            </w:pPr>
            <w:r w:rsidRPr="0041284E">
              <w:rPr>
                <w:rFonts w:asciiTheme="majorHAnsi" w:hAnsiTheme="majorHAnsi"/>
                <w:color w:val="FFFFFF" w:themeColor="background1"/>
                <w:sz w:val="40"/>
              </w:rPr>
              <w:t xml:space="preserve">Alaska Educator Evaluation System </w:t>
            </w:r>
          </w:p>
          <w:p w:rsidR="001E5C74" w:rsidRDefault="001E5C74" w:rsidP="001E5C74">
            <w:r w:rsidRPr="0041284E">
              <w:rPr>
                <w:rFonts w:asciiTheme="majorHAnsi" w:hAnsiTheme="majorHAnsi"/>
                <w:color w:val="FFFFFF" w:themeColor="background1"/>
                <w:sz w:val="40"/>
              </w:rPr>
              <w:t xml:space="preserve">Sample </w:t>
            </w:r>
            <w:r>
              <w:rPr>
                <w:rFonts w:asciiTheme="majorHAnsi" w:hAnsiTheme="majorHAnsi"/>
                <w:color w:val="FFFFFF" w:themeColor="background1"/>
                <w:sz w:val="40"/>
              </w:rPr>
              <w:t>Student Learning Objective Template Checklist</w:t>
            </w:r>
            <w:r w:rsidRPr="0041284E">
              <w:rPr>
                <w:color w:val="FFFFFF" w:themeColor="background1"/>
                <w:sz w:val="40"/>
              </w:rPr>
              <w:t xml:space="preserve"> </w:t>
            </w:r>
          </w:p>
        </w:tc>
      </w:tr>
    </w:tbl>
    <w:p w:rsidR="0041284E" w:rsidRDefault="00F31579" w:rsidP="00A41952">
      <w:pPr>
        <w:tabs>
          <w:tab w:val="left" w:pos="3168"/>
        </w:tabs>
        <w:spacing w:after="0" w:line="240" w:lineRule="auto"/>
      </w:pPr>
      <w:bookmarkStart w:id="0" w:name="_GoBack"/>
      <w:bookmarkEnd w:id="0"/>
      <w:r w:rsidRPr="00F53780">
        <w:rPr>
          <w:b/>
          <w:noProof/>
          <w:color w:val="FFFFFF" w:themeColor="background1"/>
          <w:sz w:val="24"/>
        </w:rPr>
        <w:drawing>
          <wp:anchor distT="0" distB="0" distL="114300" distR="114300" simplePos="0" relativeHeight="251658240" behindDoc="0" locked="0" layoutInCell="1" allowOverlap="1" wp14:anchorId="0906292E" wp14:editId="4C667ADD">
            <wp:simplePos x="0" y="0"/>
            <wp:positionH relativeFrom="column">
              <wp:posOffset>8270875</wp:posOffset>
            </wp:positionH>
            <wp:positionV relativeFrom="paragraph">
              <wp:posOffset>-362585</wp:posOffset>
            </wp:positionV>
            <wp:extent cx="804545" cy="695325"/>
            <wp:effectExtent l="19050" t="19050" r="1460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9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C74">
        <w:t xml:space="preserve">This checklist should be used for both writing and approving SLOs. It should be made available to both teachers and </w:t>
      </w:r>
      <w:r w:rsidR="00F53780">
        <w:t xml:space="preserve">evaluators for these purposes. </w:t>
      </w:r>
      <w:r w:rsidR="001E5C74">
        <w:t xml:space="preserve">For an SLO to be </w:t>
      </w:r>
      <w:r w:rsidR="00200AF1">
        <w:t>approved</w:t>
      </w:r>
      <w:r w:rsidR="001E5C74">
        <w:t>, ALL criteria must be met</w:t>
      </w:r>
      <w:r w:rsidR="007F0AA2">
        <w:t xml:space="preserve"> as indicated by </w:t>
      </w:r>
      <w:r w:rsidR="001E5C74">
        <w:t xml:space="preserve">a check mark </w:t>
      </w:r>
      <w:r w:rsidR="007F0AA2">
        <w:t xml:space="preserve">in each box. The checklist must be </w:t>
      </w:r>
      <w:r w:rsidR="001E5C74">
        <w:t>completed</w:t>
      </w:r>
      <w:r w:rsidR="007F0AA2">
        <w:t xml:space="preserve"> by </w:t>
      </w:r>
      <w:r w:rsidR="00200AF1">
        <w:t>the evaluating administrator or district designee</w:t>
      </w:r>
      <w:r w:rsidR="00A41952">
        <w:t>.</w:t>
      </w:r>
    </w:p>
    <w:p w:rsidR="00D17872" w:rsidRDefault="00D17872" w:rsidP="00A41952">
      <w:pPr>
        <w:tabs>
          <w:tab w:val="left" w:pos="3168"/>
        </w:tabs>
        <w:spacing w:after="0" w:line="240" w:lineRule="auto"/>
      </w:pPr>
    </w:p>
    <w:tbl>
      <w:tblPr>
        <w:tblStyle w:val="TableGrid"/>
        <w:tblW w:w="4981" w:type="pct"/>
        <w:tblLook w:val="04A0" w:firstRow="1" w:lastRow="0" w:firstColumn="1" w:lastColumn="0" w:noHBand="0" w:noVBand="1"/>
      </w:tblPr>
      <w:tblGrid>
        <w:gridCol w:w="2540"/>
        <w:gridCol w:w="2219"/>
        <w:gridCol w:w="2219"/>
        <w:gridCol w:w="2219"/>
        <w:gridCol w:w="2964"/>
        <w:gridCol w:w="2399"/>
      </w:tblGrid>
      <w:tr w:rsidR="00D17872" w:rsidRPr="001E5C74" w:rsidTr="00040CF3">
        <w:trPr>
          <w:cantSplit/>
          <w:trHeight w:val="511"/>
          <w:tblHeader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D17872" w:rsidRPr="001E5C74" w:rsidRDefault="00D17872" w:rsidP="00682C22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Student </w:t>
            </w:r>
            <w:r w:rsidRPr="001E5C74">
              <w:rPr>
                <w:b/>
                <w:sz w:val="24"/>
                <w:szCs w:val="32"/>
              </w:rPr>
              <w:t>Population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17872" w:rsidRPr="001E5C74" w:rsidRDefault="00D17872" w:rsidP="00682C22">
            <w:pPr>
              <w:jc w:val="center"/>
              <w:rPr>
                <w:b/>
                <w:sz w:val="24"/>
                <w:szCs w:val="32"/>
              </w:rPr>
            </w:pPr>
            <w:r w:rsidRPr="001E5C74">
              <w:rPr>
                <w:b/>
                <w:sz w:val="24"/>
                <w:szCs w:val="32"/>
              </w:rPr>
              <w:t>Interval of Instruction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17872" w:rsidRPr="001E5C74" w:rsidRDefault="00D17872" w:rsidP="00682C22">
            <w:pPr>
              <w:jc w:val="center"/>
              <w:rPr>
                <w:b/>
                <w:sz w:val="24"/>
                <w:szCs w:val="32"/>
              </w:rPr>
            </w:pPr>
            <w:r w:rsidRPr="001E5C74">
              <w:rPr>
                <w:b/>
                <w:sz w:val="24"/>
                <w:szCs w:val="32"/>
              </w:rPr>
              <w:t>Standard and Content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D17872" w:rsidRPr="001E5C74" w:rsidRDefault="00D17872" w:rsidP="00682C22">
            <w:pPr>
              <w:jc w:val="center"/>
              <w:rPr>
                <w:b/>
                <w:sz w:val="24"/>
                <w:szCs w:val="32"/>
              </w:rPr>
            </w:pPr>
            <w:r w:rsidRPr="001E5C74">
              <w:rPr>
                <w:b/>
                <w:sz w:val="24"/>
                <w:szCs w:val="32"/>
              </w:rPr>
              <w:t>Assessment</w:t>
            </w:r>
            <w:r>
              <w:rPr>
                <w:b/>
                <w:sz w:val="24"/>
                <w:szCs w:val="32"/>
              </w:rPr>
              <w:t xml:space="preserve">(s) and </w:t>
            </w:r>
            <w:r w:rsidRPr="001E5C74">
              <w:rPr>
                <w:b/>
                <w:sz w:val="24"/>
                <w:szCs w:val="32"/>
              </w:rPr>
              <w:t>Test Integrity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D17872" w:rsidRPr="001E5C74" w:rsidRDefault="00D17872" w:rsidP="00AD776C">
            <w:pPr>
              <w:jc w:val="center"/>
              <w:rPr>
                <w:b/>
                <w:sz w:val="24"/>
                <w:szCs w:val="32"/>
              </w:rPr>
            </w:pPr>
            <w:r w:rsidRPr="001E5C74">
              <w:rPr>
                <w:b/>
                <w:sz w:val="24"/>
                <w:szCs w:val="32"/>
              </w:rPr>
              <w:t>Baseline</w:t>
            </w:r>
            <w:r>
              <w:rPr>
                <w:b/>
                <w:sz w:val="24"/>
                <w:szCs w:val="32"/>
              </w:rPr>
              <w:t>/Trend Data and Rationale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17872" w:rsidRPr="001E5C74" w:rsidRDefault="00D17872" w:rsidP="00AD776C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Growth Target(s) </w:t>
            </w:r>
          </w:p>
        </w:tc>
      </w:tr>
      <w:tr w:rsidR="00D17872" w:rsidRPr="00C44C0A" w:rsidTr="00040CF3">
        <w:trPr>
          <w:cantSplit/>
          <w:trHeight w:val="810"/>
        </w:trPr>
        <w:tc>
          <w:tcPr>
            <w:tcW w:w="872" w:type="pct"/>
          </w:tcPr>
          <w:p w:rsidR="00D17872" w:rsidRPr="00C44C0A" w:rsidRDefault="00D17872" w:rsidP="00DB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students will be included in this SLO? Attach SLO class roster.</w:t>
            </w:r>
          </w:p>
        </w:tc>
        <w:tc>
          <w:tcPr>
            <w:tcW w:w="762" w:type="pct"/>
          </w:tcPr>
          <w:p w:rsidR="00D17872" w:rsidRPr="00C44C0A" w:rsidRDefault="00D17872" w:rsidP="00C4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duration of the course that the SLO will cover? Include beginning and end dates.</w:t>
            </w:r>
          </w:p>
        </w:tc>
        <w:tc>
          <w:tcPr>
            <w:tcW w:w="762" w:type="pct"/>
          </w:tcPr>
          <w:p w:rsidR="00D17872" w:rsidRPr="00C44C0A" w:rsidRDefault="00D17872" w:rsidP="00C4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content will the SLO target? To what related standards is the SLO aligned?</w:t>
            </w:r>
          </w:p>
        </w:tc>
        <w:tc>
          <w:tcPr>
            <w:tcW w:w="762" w:type="pct"/>
          </w:tcPr>
          <w:p w:rsidR="00D17872" w:rsidRPr="00C44C0A" w:rsidRDefault="00D17872" w:rsidP="00C4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assessment(s) will be used to measure student growth for this SLO?  How will you administer the assessment(s) securely?</w:t>
            </w:r>
          </w:p>
        </w:tc>
        <w:tc>
          <w:tcPr>
            <w:tcW w:w="1018" w:type="pct"/>
          </w:tcPr>
          <w:p w:rsidR="00D17872" w:rsidRPr="00C44C0A" w:rsidRDefault="00D17872" w:rsidP="00C4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information is being used to inform the creation of the SLO and establish the amount of growth that should take place within the instructional interval?</w:t>
            </w:r>
          </w:p>
        </w:tc>
        <w:tc>
          <w:tcPr>
            <w:tcW w:w="824" w:type="pct"/>
          </w:tcPr>
          <w:p w:rsidR="00D17872" w:rsidRPr="00C44C0A" w:rsidRDefault="00D17872" w:rsidP="00C4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goal for student growth, and how did you arrive at this goal?</w:t>
            </w:r>
          </w:p>
        </w:tc>
      </w:tr>
      <w:tr w:rsidR="00D17872" w:rsidRPr="00C44C0A" w:rsidTr="00040CF3">
        <w:trPr>
          <w:cantSplit/>
          <w:trHeight w:val="810"/>
        </w:trPr>
        <w:tc>
          <w:tcPr>
            <w:tcW w:w="872" w:type="pct"/>
          </w:tcPr>
          <w:p w:rsidR="00D17872" w:rsidRPr="00DB2F26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DB2F26">
              <w:rPr>
                <w:sz w:val="20"/>
                <w:szCs w:val="20"/>
              </w:rPr>
              <w:t xml:space="preserve">Include all students covered by the SLO. </w:t>
            </w:r>
          </w:p>
          <w:p w:rsidR="00D17872" w:rsidRDefault="00D17872" w:rsidP="00C44C0A">
            <w:pPr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student population and considers any contextual factors that may impact student growth.</w:t>
            </w:r>
          </w:p>
          <w:p w:rsidR="00D17872" w:rsidRDefault="00D17872" w:rsidP="00C44C0A">
            <w:pPr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exclude subgroups of students that may have difficulty meeting growth targets.</w:t>
            </w:r>
          </w:p>
          <w:p w:rsidR="00040CF3" w:rsidRPr="00040CF3" w:rsidRDefault="00040CF3" w:rsidP="00040CF3">
            <w:pPr>
              <w:pStyle w:val="ListParagraph"/>
              <w:rPr>
                <w:sz w:val="20"/>
                <w:szCs w:val="20"/>
              </w:rPr>
            </w:pPr>
          </w:p>
          <w:p w:rsidR="00040CF3" w:rsidRDefault="00040CF3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60% of the students who are the responsibility of the educator are represented when combined with the other SLOs for the educator.</w:t>
            </w:r>
          </w:p>
          <w:p w:rsidR="00D17872" w:rsidRPr="00C44C0A" w:rsidRDefault="00D17872" w:rsidP="00C44C0A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the length of the course (e.g. quarter, semester, year)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Pr="00C44C0A" w:rsidRDefault="00D17872" w:rsidP="00C44C0A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how the SLO will address applicable state or national standards.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Represents essential knowledge and skills that will endure beyond a single test date, be of value in other disciplines, and/or necessary for the next level of instruction.</w:t>
            </w:r>
          </w:p>
          <w:p w:rsidR="00D17872" w:rsidRDefault="00D17872" w:rsidP="00200AF1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school improvement goals.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rigorous.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Pr="00C44C0A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measurable.</w:t>
            </w:r>
          </w:p>
        </w:tc>
        <w:tc>
          <w:tcPr>
            <w:tcW w:w="762" w:type="pct"/>
          </w:tcPr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agreed upon assessment and follows appropriate guidelines.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Aligns with the targeted standards.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with learning objective is apparent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the growth, gain, or change expected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Pr="00C44C0A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plan to ensure test integrity.</w:t>
            </w:r>
          </w:p>
        </w:tc>
        <w:tc>
          <w:tcPr>
            <w:tcW w:w="1018" w:type="pct"/>
          </w:tcPr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sources of information about students (e.g. test scores from prior years, results of pre-assessments).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observable student need(s)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upon trend data, if available</w:t>
            </w:r>
          </w:p>
          <w:p w:rsidR="00D17872" w:rsidRPr="00200AF1" w:rsidRDefault="00D17872" w:rsidP="00200AF1">
            <w:pPr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Summarizes the teacher’s analysis of the baseline data by identifying student strengths and weakness. 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Pr="00C44C0A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criteria for placement in tiered target structure.</w:t>
            </w:r>
          </w:p>
        </w:tc>
        <w:tc>
          <w:tcPr>
            <w:tcW w:w="824" w:type="pct"/>
          </w:tcPr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 w:rsidRPr="00040CF3">
              <w:rPr>
                <w:sz w:val="20"/>
                <w:szCs w:val="20"/>
              </w:rPr>
              <w:t>Ensures all students covered by the SLO have a growth target</w:t>
            </w:r>
            <w:r w:rsidR="00040CF3">
              <w:rPr>
                <w:sz w:val="20"/>
                <w:szCs w:val="20"/>
              </w:rPr>
              <w:t>.</w:t>
            </w:r>
          </w:p>
          <w:p w:rsidR="00040CF3" w:rsidRPr="00040CF3" w:rsidRDefault="00040CF3" w:rsidP="00040CF3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baseline and pretest data to determine appropriate growth.</w:t>
            </w:r>
          </w:p>
          <w:p w:rsidR="00D17872" w:rsidRPr="00040CF3" w:rsidRDefault="00D17872" w:rsidP="00040CF3">
            <w:pPr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tiered targets when appropriate so that all students may demonstrate growth.</w:t>
            </w:r>
          </w:p>
          <w:p w:rsidR="00D17872" w:rsidRDefault="00D17872" w:rsidP="00DB2F26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D17872" w:rsidRDefault="00D17872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for each student</w:t>
            </w:r>
            <w:r w:rsidR="00040CF3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included on SLO class roster.</w:t>
            </w:r>
          </w:p>
          <w:p w:rsidR="00040CF3" w:rsidRPr="00040CF3" w:rsidRDefault="00040CF3" w:rsidP="00040CF3">
            <w:pPr>
              <w:pStyle w:val="ListParagraph"/>
              <w:rPr>
                <w:sz w:val="20"/>
                <w:szCs w:val="20"/>
              </w:rPr>
            </w:pPr>
          </w:p>
          <w:p w:rsidR="00040CF3" w:rsidRDefault="00040CF3" w:rsidP="00DB2F26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growth target is appropriate for the length of the instructional interval.</w:t>
            </w:r>
          </w:p>
          <w:p w:rsidR="00D17872" w:rsidRPr="00040CF3" w:rsidRDefault="00D17872" w:rsidP="00040CF3">
            <w:pPr>
              <w:rPr>
                <w:sz w:val="20"/>
                <w:szCs w:val="20"/>
              </w:rPr>
            </w:pPr>
          </w:p>
        </w:tc>
      </w:tr>
    </w:tbl>
    <w:p w:rsidR="00682C22" w:rsidRDefault="00682C22" w:rsidP="0033613E"/>
    <w:sectPr w:rsidR="00682C22" w:rsidSect="00F34C51"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17" w:rsidRDefault="00431417" w:rsidP="00E41978">
      <w:pPr>
        <w:spacing w:after="0" w:line="240" w:lineRule="auto"/>
      </w:pPr>
      <w:r>
        <w:separator/>
      </w:r>
    </w:p>
  </w:endnote>
  <w:endnote w:type="continuationSeparator" w:id="0">
    <w:p w:rsidR="00431417" w:rsidRDefault="00431417" w:rsidP="00E4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158"/>
      <w:gridCol w:w="1458"/>
    </w:tblGrid>
    <w:tr w:rsidR="00F34C51" w:rsidTr="003D6FBB">
      <w:tc>
        <w:tcPr>
          <w:tcW w:w="13158" w:type="dxa"/>
        </w:tcPr>
        <w:p w:rsidR="00F34C51" w:rsidRPr="003D6FBB" w:rsidRDefault="003D6FBB" w:rsidP="003D6FBB">
          <w:pPr>
            <w:pStyle w:val="Footer"/>
            <w:tabs>
              <w:tab w:val="clear" w:pos="4680"/>
              <w:tab w:val="clear" w:pos="9360"/>
              <w:tab w:val="right" w:pos="12870"/>
            </w:tabs>
          </w:pPr>
          <w:r>
            <w:t>Alaska Department of Education &amp; Early Development</w:t>
          </w:r>
          <w:r>
            <w:tab/>
          </w:r>
          <w:hyperlink r:id="rId1" w:history="1">
            <w:r w:rsidRPr="0058463E">
              <w:rPr>
                <w:rStyle w:val="Hyperlink"/>
              </w:rPr>
              <w:t>http://</w:t>
            </w:r>
          </w:hyperlink>
          <w:hyperlink r:id="rId2" w:history="1">
            <w:r w:rsidRPr="0058463E">
              <w:rPr>
                <w:rStyle w:val="Hyperlink"/>
              </w:rPr>
              <w:t>education.alaska.gov/TeacherCertification/edeval.html</w:t>
            </w:r>
          </w:hyperlink>
        </w:p>
      </w:tc>
      <w:tc>
        <w:tcPr>
          <w:tcW w:w="1458" w:type="dxa"/>
        </w:tcPr>
        <w:p w:rsidR="00F34C51" w:rsidRDefault="003D6FBB" w:rsidP="003D6FBB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0CF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02068" w:rsidRDefault="00002068" w:rsidP="00134F00">
    <w:pPr>
      <w:pStyle w:val="Footer"/>
      <w:tabs>
        <w:tab w:val="clear" w:pos="9360"/>
        <w:tab w:val="right" w:pos="10170"/>
      </w:tabs>
      <w:ind w:right="-63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41" w:rsidRDefault="00803A41" w:rsidP="00803A41">
    <w:pPr>
      <w:pStyle w:val="Footer"/>
      <w:tabs>
        <w:tab w:val="clear" w:pos="9360"/>
        <w:tab w:val="right" w:pos="14400"/>
      </w:tabs>
    </w:pPr>
    <w:r>
      <w:t xml:space="preserve">EED </w:t>
    </w:r>
    <w:r w:rsidRPr="006D1F3F">
      <w:t>DRAFT DOCUMENT FOR COMMENT (</w:t>
    </w:r>
    <w:r w:rsidR="005866F5">
      <w:t>2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61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17" w:rsidRDefault="00431417" w:rsidP="00E41978">
      <w:pPr>
        <w:spacing w:after="0" w:line="240" w:lineRule="auto"/>
      </w:pPr>
      <w:r>
        <w:separator/>
      </w:r>
    </w:p>
  </w:footnote>
  <w:footnote w:type="continuationSeparator" w:id="0">
    <w:p w:rsidR="00431417" w:rsidRDefault="00431417" w:rsidP="00E4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84625"/>
      <w:docPartObj>
        <w:docPartGallery w:val="Watermarks"/>
        <w:docPartUnique/>
      </w:docPartObj>
    </w:sdtPr>
    <w:sdtEndPr/>
    <w:sdtContent>
      <w:p w:rsidR="00950E79" w:rsidRDefault="008D61A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54B"/>
    <w:multiLevelType w:val="hybridMultilevel"/>
    <w:tmpl w:val="FD869DA2"/>
    <w:lvl w:ilvl="0" w:tplc="E4F885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1C0D"/>
    <w:multiLevelType w:val="hybridMultilevel"/>
    <w:tmpl w:val="015CA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73F"/>
    <w:multiLevelType w:val="hybridMultilevel"/>
    <w:tmpl w:val="CB946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0A05"/>
    <w:multiLevelType w:val="hybridMultilevel"/>
    <w:tmpl w:val="C4CA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22F7"/>
    <w:multiLevelType w:val="hybridMultilevel"/>
    <w:tmpl w:val="9B8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C59"/>
    <w:multiLevelType w:val="hybridMultilevel"/>
    <w:tmpl w:val="E03E29C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C17F17"/>
    <w:multiLevelType w:val="hybridMultilevel"/>
    <w:tmpl w:val="C8EA4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75DE7"/>
    <w:multiLevelType w:val="hybridMultilevel"/>
    <w:tmpl w:val="70CA7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717848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06955"/>
    <w:multiLevelType w:val="hybridMultilevel"/>
    <w:tmpl w:val="3AF89D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3B40FE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67ED"/>
    <w:multiLevelType w:val="hybridMultilevel"/>
    <w:tmpl w:val="3ED274C8"/>
    <w:lvl w:ilvl="0" w:tplc="980686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32695"/>
    <w:multiLevelType w:val="hybridMultilevel"/>
    <w:tmpl w:val="10E4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80C14"/>
    <w:multiLevelType w:val="hybridMultilevel"/>
    <w:tmpl w:val="F4B8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6725"/>
    <w:multiLevelType w:val="hybridMultilevel"/>
    <w:tmpl w:val="A7469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10322"/>
    <w:multiLevelType w:val="hybridMultilevel"/>
    <w:tmpl w:val="D43A6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AD4AF3"/>
    <w:multiLevelType w:val="hybridMultilevel"/>
    <w:tmpl w:val="72DA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3621"/>
    <w:multiLevelType w:val="hybridMultilevel"/>
    <w:tmpl w:val="847AA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15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5"/>
    <w:rsid w:val="0000077F"/>
    <w:rsid w:val="00002068"/>
    <w:rsid w:val="00011013"/>
    <w:rsid w:val="0003022D"/>
    <w:rsid w:val="000336AC"/>
    <w:rsid w:val="000336E2"/>
    <w:rsid w:val="00040CF3"/>
    <w:rsid w:val="000464DB"/>
    <w:rsid w:val="00046B80"/>
    <w:rsid w:val="00080DD8"/>
    <w:rsid w:val="00082FB8"/>
    <w:rsid w:val="000913BE"/>
    <w:rsid w:val="000A4AD2"/>
    <w:rsid w:val="000E65A0"/>
    <w:rsid w:val="00100EAE"/>
    <w:rsid w:val="00107E3C"/>
    <w:rsid w:val="001153DF"/>
    <w:rsid w:val="00116A62"/>
    <w:rsid w:val="0013015A"/>
    <w:rsid w:val="00134F00"/>
    <w:rsid w:val="00146F3B"/>
    <w:rsid w:val="0016081C"/>
    <w:rsid w:val="00166387"/>
    <w:rsid w:val="00172755"/>
    <w:rsid w:val="0018675D"/>
    <w:rsid w:val="001B1CF5"/>
    <w:rsid w:val="001B4B59"/>
    <w:rsid w:val="001C0D8A"/>
    <w:rsid w:val="001D573D"/>
    <w:rsid w:val="001E5C74"/>
    <w:rsid w:val="00200AF1"/>
    <w:rsid w:val="002147DC"/>
    <w:rsid w:val="0025014C"/>
    <w:rsid w:val="00284F98"/>
    <w:rsid w:val="00297185"/>
    <w:rsid w:val="002A32B9"/>
    <w:rsid w:val="003135FC"/>
    <w:rsid w:val="003231BE"/>
    <w:rsid w:val="0033613E"/>
    <w:rsid w:val="00336209"/>
    <w:rsid w:val="00375014"/>
    <w:rsid w:val="00380C17"/>
    <w:rsid w:val="0038234D"/>
    <w:rsid w:val="00382E3D"/>
    <w:rsid w:val="003D6FBB"/>
    <w:rsid w:val="003E68B3"/>
    <w:rsid w:val="00406C07"/>
    <w:rsid w:val="0041284E"/>
    <w:rsid w:val="00431417"/>
    <w:rsid w:val="004452D2"/>
    <w:rsid w:val="00446CE7"/>
    <w:rsid w:val="00471EB9"/>
    <w:rsid w:val="004C0F95"/>
    <w:rsid w:val="004C125C"/>
    <w:rsid w:val="004C4173"/>
    <w:rsid w:val="004D0959"/>
    <w:rsid w:val="004D60A3"/>
    <w:rsid w:val="004F3A10"/>
    <w:rsid w:val="004F3B65"/>
    <w:rsid w:val="00503EF2"/>
    <w:rsid w:val="00504772"/>
    <w:rsid w:val="00505258"/>
    <w:rsid w:val="005120A4"/>
    <w:rsid w:val="005170B4"/>
    <w:rsid w:val="0051775A"/>
    <w:rsid w:val="00530CB5"/>
    <w:rsid w:val="00543DBB"/>
    <w:rsid w:val="00563DE7"/>
    <w:rsid w:val="00574130"/>
    <w:rsid w:val="00576208"/>
    <w:rsid w:val="005866F5"/>
    <w:rsid w:val="0059146B"/>
    <w:rsid w:val="005A0D6C"/>
    <w:rsid w:val="005F6A89"/>
    <w:rsid w:val="005F7857"/>
    <w:rsid w:val="006545C9"/>
    <w:rsid w:val="00682C22"/>
    <w:rsid w:val="006936F2"/>
    <w:rsid w:val="006C12D1"/>
    <w:rsid w:val="006D0230"/>
    <w:rsid w:val="007119AF"/>
    <w:rsid w:val="00737206"/>
    <w:rsid w:val="007373A6"/>
    <w:rsid w:val="00745244"/>
    <w:rsid w:val="007514C6"/>
    <w:rsid w:val="007817DD"/>
    <w:rsid w:val="007A192D"/>
    <w:rsid w:val="007B45A0"/>
    <w:rsid w:val="007B7B17"/>
    <w:rsid w:val="007C149A"/>
    <w:rsid w:val="007F0AA2"/>
    <w:rsid w:val="00803A41"/>
    <w:rsid w:val="00815BBF"/>
    <w:rsid w:val="00815ED3"/>
    <w:rsid w:val="00824CE7"/>
    <w:rsid w:val="008377A1"/>
    <w:rsid w:val="008452E1"/>
    <w:rsid w:val="008507B2"/>
    <w:rsid w:val="0085582B"/>
    <w:rsid w:val="0086717E"/>
    <w:rsid w:val="00874338"/>
    <w:rsid w:val="00875C1C"/>
    <w:rsid w:val="008A20AA"/>
    <w:rsid w:val="008B759C"/>
    <w:rsid w:val="008C2329"/>
    <w:rsid w:val="008C268C"/>
    <w:rsid w:val="008D61AF"/>
    <w:rsid w:val="008E753D"/>
    <w:rsid w:val="008F2FAD"/>
    <w:rsid w:val="008F5B1D"/>
    <w:rsid w:val="00902A93"/>
    <w:rsid w:val="009121FD"/>
    <w:rsid w:val="00930A72"/>
    <w:rsid w:val="009326CE"/>
    <w:rsid w:val="009417BE"/>
    <w:rsid w:val="00941BC1"/>
    <w:rsid w:val="00950E79"/>
    <w:rsid w:val="009519F6"/>
    <w:rsid w:val="009646CA"/>
    <w:rsid w:val="0096791F"/>
    <w:rsid w:val="009730A3"/>
    <w:rsid w:val="00982EB6"/>
    <w:rsid w:val="009907EA"/>
    <w:rsid w:val="00990C9B"/>
    <w:rsid w:val="009A1FB1"/>
    <w:rsid w:val="009F6914"/>
    <w:rsid w:val="009F6C2A"/>
    <w:rsid w:val="00A030BC"/>
    <w:rsid w:val="00A0326F"/>
    <w:rsid w:val="00A26591"/>
    <w:rsid w:val="00A312BA"/>
    <w:rsid w:val="00A41952"/>
    <w:rsid w:val="00A41A08"/>
    <w:rsid w:val="00A424F7"/>
    <w:rsid w:val="00A446D2"/>
    <w:rsid w:val="00A502CF"/>
    <w:rsid w:val="00A716B3"/>
    <w:rsid w:val="00A773F3"/>
    <w:rsid w:val="00A907AC"/>
    <w:rsid w:val="00A93B38"/>
    <w:rsid w:val="00A95957"/>
    <w:rsid w:val="00AA097A"/>
    <w:rsid w:val="00AA4FC0"/>
    <w:rsid w:val="00AA549A"/>
    <w:rsid w:val="00AD776C"/>
    <w:rsid w:val="00AE49DA"/>
    <w:rsid w:val="00AE5C4F"/>
    <w:rsid w:val="00B03DFC"/>
    <w:rsid w:val="00B23D15"/>
    <w:rsid w:val="00B262A2"/>
    <w:rsid w:val="00B5551D"/>
    <w:rsid w:val="00B57BEA"/>
    <w:rsid w:val="00B60431"/>
    <w:rsid w:val="00B60CD7"/>
    <w:rsid w:val="00B90208"/>
    <w:rsid w:val="00B91173"/>
    <w:rsid w:val="00B94A89"/>
    <w:rsid w:val="00B94EBB"/>
    <w:rsid w:val="00B963C8"/>
    <w:rsid w:val="00B96EB3"/>
    <w:rsid w:val="00BA34CE"/>
    <w:rsid w:val="00BB27A9"/>
    <w:rsid w:val="00BC2F8A"/>
    <w:rsid w:val="00BD7F53"/>
    <w:rsid w:val="00C10FC4"/>
    <w:rsid w:val="00C31681"/>
    <w:rsid w:val="00C35DAA"/>
    <w:rsid w:val="00C44C0A"/>
    <w:rsid w:val="00C56B7B"/>
    <w:rsid w:val="00C67621"/>
    <w:rsid w:val="00C7060A"/>
    <w:rsid w:val="00C810DD"/>
    <w:rsid w:val="00C95EDF"/>
    <w:rsid w:val="00CB5C14"/>
    <w:rsid w:val="00CC18C2"/>
    <w:rsid w:val="00CC7CE4"/>
    <w:rsid w:val="00CD038B"/>
    <w:rsid w:val="00CE4B78"/>
    <w:rsid w:val="00CE5D09"/>
    <w:rsid w:val="00CF025E"/>
    <w:rsid w:val="00D11ACD"/>
    <w:rsid w:val="00D144CC"/>
    <w:rsid w:val="00D157CF"/>
    <w:rsid w:val="00D17872"/>
    <w:rsid w:val="00D23E1F"/>
    <w:rsid w:val="00D250F9"/>
    <w:rsid w:val="00D46199"/>
    <w:rsid w:val="00D57EFF"/>
    <w:rsid w:val="00D664B4"/>
    <w:rsid w:val="00D678DD"/>
    <w:rsid w:val="00D85A19"/>
    <w:rsid w:val="00D9539C"/>
    <w:rsid w:val="00DA7E1D"/>
    <w:rsid w:val="00DB2A57"/>
    <w:rsid w:val="00DB2F26"/>
    <w:rsid w:val="00DB7F53"/>
    <w:rsid w:val="00DC0A3A"/>
    <w:rsid w:val="00DC1E9C"/>
    <w:rsid w:val="00DC52FB"/>
    <w:rsid w:val="00DD510D"/>
    <w:rsid w:val="00DD6B23"/>
    <w:rsid w:val="00DE279D"/>
    <w:rsid w:val="00DE3F51"/>
    <w:rsid w:val="00DE4666"/>
    <w:rsid w:val="00DE4A11"/>
    <w:rsid w:val="00DE5E54"/>
    <w:rsid w:val="00DF5634"/>
    <w:rsid w:val="00E11C3C"/>
    <w:rsid w:val="00E41978"/>
    <w:rsid w:val="00E4588B"/>
    <w:rsid w:val="00E514B7"/>
    <w:rsid w:val="00E55332"/>
    <w:rsid w:val="00E84AF5"/>
    <w:rsid w:val="00E91419"/>
    <w:rsid w:val="00E9565A"/>
    <w:rsid w:val="00EA4538"/>
    <w:rsid w:val="00EB3397"/>
    <w:rsid w:val="00EE4850"/>
    <w:rsid w:val="00F0664B"/>
    <w:rsid w:val="00F256A7"/>
    <w:rsid w:val="00F31579"/>
    <w:rsid w:val="00F34C51"/>
    <w:rsid w:val="00F436D5"/>
    <w:rsid w:val="00F467EE"/>
    <w:rsid w:val="00F53780"/>
    <w:rsid w:val="00F54A1D"/>
    <w:rsid w:val="00F550FA"/>
    <w:rsid w:val="00F614E9"/>
    <w:rsid w:val="00F641EB"/>
    <w:rsid w:val="00F720C4"/>
    <w:rsid w:val="00F80370"/>
    <w:rsid w:val="00F93447"/>
    <w:rsid w:val="00F948BA"/>
    <w:rsid w:val="00FA5268"/>
    <w:rsid w:val="00FC3879"/>
    <w:rsid w:val="00FD5A4E"/>
    <w:rsid w:val="00FE1906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tion.alaska.gov/TeacherCertification/edeval.html" TargetMode="External"/><Relationship Id="rId1" Type="http://schemas.openxmlformats.org/officeDocument/2006/relationships/hyperlink" Target="http://education.alaska.gov/TeacherCertification/ed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5AAE-15DA-46C1-883E-1C71F77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Meredith</dc:creator>
  <cp:lastModifiedBy>Miller, Cecilia A (EED)</cp:lastModifiedBy>
  <cp:revision>7</cp:revision>
  <cp:lastPrinted>2013-12-03T01:11:00Z</cp:lastPrinted>
  <dcterms:created xsi:type="dcterms:W3CDTF">2014-01-28T01:02:00Z</dcterms:created>
  <dcterms:modified xsi:type="dcterms:W3CDTF">2014-03-01T01:32:00Z</dcterms:modified>
</cp:coreProperties>
</file>