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5C94" w:rsidRDefault="005B357D" w:rsidP="002E6867">
      <w:pPr>
        <w:tabs>
          <w:tab w:val="left" w:pos="4350"/>
        </w:tabs>
      </w:pPr>
      <w:bookmarkStart w:id="0" w:name="_GoBack"/>
      <w:bookmarkEnd w:id="0"/>
    </w:p>
    <w:p w:rsidR="00B35F0C" w:rsidRDefault="008742A2" w:rsidP="00EB2C88">
      <w:pPr>
        <w:spacing w:after="0" w:line="240" w:lineRule="auto"/>
        <w:jc w:val="center"/>
        <w:rPr>
          <w:b/>
          <w:sz w:val="32"/>
          <w:szCs w:val="32"/>
        </w:rPr>
      </w:pPr>
      <w:r>
        <w:rPr>
          <w:b/>
          <w:sz w:val="32"/>
          <w:szCs w:val="32"/>
        </w:rPr>
        <w:t>Implementation</w:t>
      </w:r>
      <w:r w:rsidR="00214443" w:rsidRPr="00214443">
        <w:rPr>
          <w:b/>
          <w:sz w:val="32"/>
          <w:szCs w:val="32"/>
        </w:rPr>
        <w:t xml:space="preserve"> Plan for New Alaska Mathematics Standards</w:t>
      </w:r>
    </w:p>
    <w:p w:rsidR="000E1E85" w:rsidRPr="00214443" w:rsidRDefault="001150C2" w:rsidP="00214443">
      <w:pPr>
        <w:jc w:val="center"/>
        <w:rPr>
          <w:b/>
          <w:sz w:val="32"/>
          <w:szCs w:val="32"/>
        </w:rPr>
      </w:pPr>
      <w:r>
        <w:rPr>
          <w:b/>
          <w:sz w:val="32"/>
          <w:szCs w:val="32"/>
        </w:rPr>
        <w:t>Kindergarten-Grade 2</w:t>
      </w:r>
    </w:p>
    <w:p w:rsidR="00B35F0C" w:rsidRDefault="008742A2">
      <w:r>
        <w:t xml:space="preserve">Comparison Tools for Standards Transition at </w:t>
      </w:r>
      <w:hyperlink r:id="rId7" w:history="1">
        <w:r w:rsidR="00B3618B" w:rsidRPr="005D14F4">
          <w:rPr>
            <w:rStyle w:val="Hyperlink"/>
          </w:rPr>
          <w:t>http://education.alaska.gov/tls/assessment/2012comparison.html</w:t>
        </w:r>
      </w:hyperlink>
      <w:r>
        <w:t xml:space="preserve"> </w:t>
      </w:r>
      <w:r w:rsidR="00EB2C88">
        <w:t>show there is much commonality between the new standards and the Grade Level Expectations</w:t>
      </w:r>
      <w:r w:rsidR="006C44ED">
        <w:t xml:space="preserve"> (GLEs)</w:t>
      </w:r>
      <w:r w:rsidR="00F311AF">
        <w:t xml:space="preserve"> at kindergarten-grade 2</w:t>
      </w:r>
      <w:r w:rsidR="00EB2C88">
        <w:t>, enabling full implementation</w:t>
      </w:r>
      <w:r w:rsidR="00B866D4">
        <w:t xml:space="preserve"> of the new standards</w:t>
      </w:r>
      <w:r w:rsidR="00EB2C88">
        <w:t xml:space="preserve"> in </w:t>
      </w:r>
      <w:r w:rsidR="002B5990">
        <w:t>the 2013-2014 school year</w:t>
      </w:r>
      <w:r w:rsidR="00EB2C88">
        <w:t>.</w:t>
      </w:r>
    </w:p>
    <w:p w:rsidR="00EB2C88" w:rsidRDefault="00EB2C88" w:rsidP="006D2E63">
      <w:pPr>
        <w:spacing w:after="0" w:line="240" w:lineRule="auto"/>
      </w:pPr>
      <w:r>
        <w:t xml:space="preserve">The comparison tools can serve as a guide showing how instruction needs to change. The tools show the new mathematics standards, GLEs that align to those standards, and comments about increases in rigor. For example, the greatest increase in rigor for </w:t>
      </w:r>
      <w:r w:rsidR="00F311AF">
        <w:t>grade 2</w:t>
      </w:r>
      <w:r>
        <w:t xml:space="preserve"> is for 2.NBT.7. Below is the entry for this standard</w:t>
      </w:r>
      <w:r w:rsidR="006C44ED">
        <w:t xml:space="preserve"> that shows the skills in 2.NBT.7 are addressed in grade 4 in the GLEs.</w:t>
      </w:r>
    </w:p>
    <w:p w:rsidR="00EB2C88" w:rsidRDefault="006D2E63">
      <w:r>
        <w:rPr>
          <w:noProof/>
        </w:rPr>
        <w:drawing>
          <wp:inline distT="0" distB="0" distL="0" distR="0" wp14:anchorId="5AF0DBFA" wp14:editId="159BDF97">
            <wp:extent cx="8610600" cy="479167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4196" t="23810" r="53795" b="23413"/>
                    <a:stretch/>
                  </pic:blipFill>
                  <pic:spPr bwMode="auto">
                    <a:xfrm>
                      <a:off x="0" y="0"/>
                      <a:ext cx="8634985" cy="4805242"/>
                    </a:xfrm>
                    <a:prstGeom prst="rect">
                      <a:avLst/>
                    </a:prstGeom>
                    <a:ln>
                      <a:noFill/>
                    </a:ln>
                    <a:extLst>
                      <a:ext uri="{53640926-AAD7-44D8-BBD7-CCE9431645EC}">
                        <a14:shadowObscured xmlns:a14="http://schemas.microsoft.com/office/drawing/2010/main"/>
                      </a:ext>
                    </a:extLst>
                  </pic:spPr>
                </pic:pic>
              </a:graphicData>
            </a:graphic>
          </wp:inline>
        </w:drawing>
      </w:r>
    </w:p>
    <w:p w:rsidR="002E6867" w:rsidRDefault="002E6867" w:rsidP="003661B9">
      <w:pPr>
        <w:spacing w:after="0" w:line="240" w:lineRule="auto"/>
      </w:pPr>
    </w:p>
    <w:p w:rsidR="004819BF" w:rsidRDefault="006D2E63" w:rsidP="003661B9">
      <w:pPr>
        <w:spacing w:after="0" w:line="240" w:lineRule="auto"/>
      </w:pPr>
      <w:r>
        <w:lastRenderedPageBreak/>
        <w:t xml:space="preserve">Below is another example of </w:t>
      </w:r>
      <w:r w:rsidR="004819BF">
        <w:t>the information co</w:t>
      </w:r>
      <w:r w:rsidR="00AA503E">
        <w:t>ntained in the comparison tools, showing both similarities and differences between the two sets of standards.</w:t>
      </w:r>
    </w:p>
    <w:p w:rsidR="004819BF" w:rsidRDefault="004819BF" w:rsidP="003661B9">
      <w:pPr>
        <w:spacing w:after="0" w:line="240" w:lineRule="auto"/>
      </w:pPr>
    </w:p>
    <w:p w:rsidR="006D2E63" w:rsidRDefault="00EC7FC4">
      <w:r>
        <w:rPr>
          <w:noProof/>
        </w:rPr>
        <w:drawing>
          <wp:inline distT="0" distB="0" distL="0" distR="0" wp14:anchorId="3AF394F0" wp14:editId="40CF47B2">
            <wp:extent cx="8658225" cy="5574162"/>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3943" t="22317" r="53365" b="15321"/>
                    <a:stretch/>
                  </pic:blipFill>
                  <pic:spPr bwMode="auto">
                    <a:xfrm>
                      <a:off x="0" y="0"/>
                      <a:ext cx="8662262" cy="5576761"/>
                    </a:xfrm>
                    <a:prstGeom prst="rect">
                      <a:avLst/>
                    </a:prstGeom>
                    <a:ln>
                      <a:noFill/>
                    </a:ln>
                    <a:extLst>
                      <a:ext uri="{53640926-AAD7-44D8-BBD7-CCE9431645EC}">
                        <a14:shadowObscured xmlns:a14="http://schemas.microsoft.com/office/drawing/2010/main"/>
                      </a:ext>
                    </a:extLst>
                  </pic:spPr>
                </pic:pic>
              </a:graphicData>
            </a:graphic>
          </wp:inline>
        </w:drawing>
      </w:r>
    </w:p>
    <w:p w:rsidR="00713EA4" w:rsidRDefault="00713EA4">
      <w:r>
        <w:br w:type="page"/>
      </w:r>
    </w:p>
    <w:p w:rsidR="002E6867" w:rsidRDefault="002E6867"/>
    <w:p w:rsidR="00B35F0C" w:rsidRDefault="00713EA4">
      <w:r>
        <w:t>Below is an entry from the Grade 1 Comparison Tool, showing an increase in rigor for standard 6 for Operations and Algebraic Thinking</w:t>
      </w:r>
      <w:r w:rsidR="006D093B">
        <w:t xml:space="preserve"> and also showing a new standard that is not addressed in the GLEs</w:t>
      </w:r>
      <w:r>
        <w:t>.</w:t>
      </w:r>
    </w:p>
    <w:p w:rsidR="00713EA4" w:rsidRDefault="00713EA4">
      <w:r>
        <w:rPr>
          <w:noProof/>
        </w:rPr>
        <w:drawing>
          <wp:inline distT="0" distB="0" distL="0" distR="0" wp14:anchorId="2F12BF70" wp14:editId="2949F69B">
            <wp:extent cx="8382000" cy="5066649"/>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5867" t="20893" r="55604" b="28010"/>
                    <a:stretch/>
                  </pic:blipFill>
                  <pic:spPr bwMode="auto">
                    <a:xfrm>
                      <a:off x="0" y="0"/>
                      <a:ext cx="8382000" cy="5066649"/>
                    </a:xfrm>
                    <a:prstGeom prst="rect">
                      <a:avLst/>
                    </a:prstGeom>
                    <a:ln>
                      <a:noFill/>
                    </a:ln>
                    <a:extLst>
                      <a:ext uri="{53640926-AAD7-44D8-BBD7-CCE9431645EC}">
                        <a14:shadowObscured xmlns:a14="http://schemas.microsoft.com/office/drawing/2010/main"/>
                      </a:ext>
                    </a:extLst>
                  </pic:spPr>
                </pic:pic>
              </a:graphicData>
            </a:graphic>
          </wp:inline>
        </w:drawing>
      </w:r>
    </w:p>
    <w:p w:rsidR="00F85A46" w:rsidRDefault="00F85A46">
      <w:r>
        <w:br w:type="page"/>
      </w:r>
    </w:p>
    <w:p w:rsidR="002E6867" w:rsidRDefault="002E6867"/>
    <w:p w:rsidR="00713EA4" w:rsidRDefault="00F85A46">
      <w:r>
        <w:t>Below is an entry from the Kindergarten Comparison Tool, showing an increase in rigor for counting and also showing a standard that is not addressed in the GLEs.</w:t>
      </w:r>
    </w:p>
    <w:p w:rsidR="00F85A46" w:rsidRDefault="00F85A46">
      <w:r>
        <w:rPr>
          <w:noProof/>
        </w:rPr>
        <w:drawing>
          <wp:inline distT="0" distB="0" distL="0" distR="0" wp14:anchorId="6F89A4BE" wp14:editId="2F283179">
            <wp:extent cx="8976502" cy="4962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4263" t="20572" r="55644" b="30134"/>
                    <a:stretch/>
                  </pic:blipFill>
                  <pic:spPr bwMode="auto">
                    <a:xfrm>
                      <a:off x="0" y="0"/>
                      <a:ext cx="8981421" cy="4965244"/>
                    </a:xfrm>
                    <a:prstGeom prst="rect">
                      <a:avLst/>
                    </a:prstGeom>
                    <a:ln>
                      <a:noFill/>
                    </a:ln>
                    <a:extLst>
                      <a:ext uri="{53640926-AAD7-44D8-BBD7-CCE9431645EC}">
                        <a14:shadowObscured xmlns:a14="http://schemas.microsoft.com/office/drawing/2010/main"/>
                      </a:ext>
                    </a:extLst>
                  </pic:spPr>
                </pic:pic>
              </a:graphicData>
            </a:graphic>
          </wp:inline>
        </w:drawing>
      </w:r>
    </w:p>
    <w:p w:rsidR="00B930AE" w:rsidRDefault="00B930AE"/>
    <w:p w:rsidR="00B930AE" w:rsidRDefault="00B930AE">
      <w:r>
        <w:br w:type="page"/>
      </w:r>
    </w:p>
    <w:p w:rsidR="00B930AE" w:rsidRDefault="00B930AE" w:rsidP="00B930AE">
      <w:pPr>
        <w:spacing w:line="240" w:lineRule="auto"/>
      </w:pPr>
      <w:r>
        <w:lastRenderedPageBreak/>
        <w:t>The comparison tool for each grade also includes a table showing math GLEs with no equivalent standards in the new standards or addressed in other grades. This table can help teachers change curriculum to match the new standards.</w:t>
      </w:r>
    </w:p>
    <w:p w:rsidR="00B930AE" w:rsidRDefault="00B930AE" w:rsidP="00B930AE">
      <w:pPr>
        <w:spacing w:line="240" w:lineRule="auto"/>
      </w:pPr>
      <w:r>
        <w:rPr>
          <w:noProof/>
        </w:rPr>
        <w:drawing>
          <wp:inline distT="0" distB="0" distL="0" distR="0" wp14:anchorId="33501B05" wp14:editId="042B4308">
            <wp:extent cx="8210550" cy="6188549"/>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5738" t="15644" r="55591" b="20327"/>
                    <a:stretch/>
                  </pic:blipFill>
                  <pic:spPr bwMode="auto">
                    <a:xfrm>
                      <a:off x="0" y="0"/>
                      <a:ext cx="8216554" cy="6193074"/>
                    </a:xfrm>
                    <a:prstGeom prst="rect">
                      <a:avLst/>
                    </a:prstGeom>
                    <a:ln>
                      <a:noFill/>
                    </a:ln>
                    <a:extLst>
                      <a:ext uri="{53640926-AAD7-44D8-BBD7-CCE9431645EC}">
                        <a14:shadowObscured xmlns:a14="http://schemas.microsoft.com/office/drawing/2010/main"/>
                      </a:ext>
                    </a:extLst>
                  </pic:spPr>
                </pic:pic>
              </a:graphicData>
            </a:graphic>
          </wp:inline>
        </w:drawing>
      </w:r>
    </w:p>
    <w:p w:rsidR="00B930AE" w:rsidRDefault="00B930AE"/>
    <w:sectPr w:rsidR="00B930AE" w:rsidSect="00EB2C88">
      <w:pgSz w:w="15840" w:h="12240" w:orient="landscape" w:code="1"/>
      <w:pgMar w:top="288" w:right="864" w:bottom="288" w:left="72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357D" w:rsidRDefault="005B357D" w:rsidP="00214443">
      <w:pPr>
        <w:spacing w:after="0" w:line="240" w:lineRule="auto"/>
      </w:pPr>
      <w:r>
        <w:separator/>
      </w:r>
    </w:p>
  </w:endnote>
  <w:endnote w:type="continuationSeparator" w:id="0">
    <w:p w:rsidR="005B357D" w:rsidRDefault="005B357D" w:rsidP="002144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357D" w:rsidRDefault="005B357D" w:rsidP="00214443">
      <w:pPr>
        <w:spacing w:after="0" w:line="240" w:lineRule="auto"/>
      </w:pPr>
      <w:r>
        <w:separator/>
      </w:r>
    </w:p>
  </w:footnote>
  <w:footnote w:type="continuationSeparator" w:id="0">
    <w:p w:rsidR="005B357D" w:rsidRDefault="005B357D" w:rsidP="002144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AD761C"/>
    <w:multiLevelType w:val="hybridMultilevel"/>
    <w:tmpl w:val="C4BA9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7816813"/>
    <w:multiLevelType w:val="hybridMultilevel"/>
    <w:tmpl w:val="12AA3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435384F"/>
    <w:multiLevelType w:val="hybridMultilevel"/>
    <w:tmpl w:val="B8CE3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8A331F7"/>
    <w:multiLevelType w:val="hybridMultilevel"/>
    <w:tmpl w:val="19C60C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376"/>
    <w:rsid w:val="00046AFA"/>
    <w:rsid w:val="00061C5E"/>
    <w:rsid w:val="000851D6"/>
    <w:rsid w:val="000C5957"/>
    <w:rsid w:val="000E1E85"/>
    <w:rsid w:val="00106F45"/>
    <w:rsid w:val="0011384C"/>
    <w:rsid w:val="001150C2"/>
    <w:rsid w:val="0014401E"/>
    <w:rsid w:val="001C2502"/>
    <w:rsid w:val="001E27DA"/>
    <w:rsid w:val="001F394E"/>
    <w:rsid w:val="00206D68"/>
    <w:rsid w:val="00214443"/>
    <w:rsid w:val="002343CD"/>
    <w:rsid w:val="00274BF7"/>
    <w:rsid w:val="002B5990"/>
    <w:rsid w:val="002B605E"/>
    <w:rsid w:val="002D038C"/>
    <w:rsid w:val="002E6867"/>
    <w:rsid w:val="002F5562"/>
    <w:rsid w:val="002F615C"/>
    <w:rsid w:val="00305EF0"/>
    <w:rsid w:val="00331846"/>
    <w:rsid w:val="00336E4F"/>
    <w:rsid w:val="00337EA8"/>
    <w:rsid w:val="00350157"/>
    <w:rsid w:val="003632A9"/>
    <w:rsid w:val="003661B9"/>
    <w:rsid w:val="00394921"/>
    <w:rsid w:val="003A015E"/>
    <w:rsid w:val="003A711A"/>
    <w:rsid w:val="003C3049"/>
    <w:rsid w:val="003D01D4"/>
    <w:rsid w:val="003D67A1"/>
    <w:rsid w:val="003E5F77"/>
    <w:rsid w:val="00401044"/>
    <w:rsid w:val="0041223D"/>
    <w:rsid w:val="00417AB4"/>
    <w:rsid w:val="00446600"/>
    <w:rsid w:val="00451754"/>
    <w:rsid w:val="004625CF"/>
    <w:rsid w:val="00464A5A"/>
    <w:rsid w:val="00467162"/>
    <w:rsid w:val="004819BF"/>
    <w:rsid w:val="0049204F"/>
    <w:rsid w:val="004B6374"/>
    <w:rsid w:val="004C7376"/>
    <w:rsid w:val="004E0C27"/>
    <w:rsid w:val="00504DAE"/>
    <w:rsid w:val="00506D21"/>
    <w:rsid w:val="0053046A"/>
    <w:rsid w:val="00537B96"/>
    <w:rsid w:val="0054155D"/>
    <w:rsid w:val="00554C88"/>
    <w:rsid w:val="0058517D"/>
    <w:rsid w:val="0059090E"/>
    <w:rsid w:val="00594E36"/>
    <w:rsid w:val="005B357D"/>
    <w:rsid w:val="005D05C8"/>
    <w:rsid w:val="005E503E"/>
    <w:rsid w:val="0062635F"/>
    <w:rsid w:val="006550D8"/>
    <w:rsid w:val="006554D3"/>
    <w:rsid w:val="00655D60"/>
    <w:rsid w:val="006761D5"/>
    <w:rsid w:val="00686699"/>
    <w:rsid w:val="006C44ED"/>
    <w:rsid w:val="006D093B"/>
    <w:rsid w:val="006D2E63"/>
    <w:rsid w:val="00710F24"/>
    <w:rsid w:val="00713EA4"/>
    <w:rsid w:val="00737BD7"/>
    <w:rsid w:val="00744644"/>
    <w:rsid w:val="00753DF6"/>
    <w:rsid w:val="00754D3C"/>
    <w:rsid w:val="00777CF0"/>
    <w:rsid w:val="00782E8F"/>
    <w:rsid w:val="00790168"/>
    <w:rsid w:val="007C5CFC"/>
    <w:rsid w:val="007E531B"/>
    <w:rsid w:val="00807AA7"/>
    <w:rsid w:val="00811343"/>
    <w:rsid w:val="00820FA9"/>
    <w:rsid w:val="00821BD0"/>
    <w:rsid w:val="008442B8"/>
    <w:rsid w:val="008742A2"/>
    <w:rsid w:val="008A3929"/>
    <w:rsid w:val="008F646C"/>
    <w:rsid w:val="008F68CF"/>
    <w:rsid w:val="009050D5"/>
    <w:rsid w:val="00905F68"/>
    <w:rsid w:val="009104B5"/>
    <w:rsid w:val="00916736"/>
    <w:rsid w:val="0095103C"/>
    <w:rsid w:val="00951046"/>
    <w:rsid w:val="009861DF"/>
    <w:rsid w:val="009C5E54"/>
    <w:rsid w:val="009E3D91"/>
    <w:rsid w:val="009F3935"/>
    <w:rsid w:val="00A25E06"/>
    <w:rsid w:val="00A573D9"/>
    <w:rsid w:val="00AA3428"/>
    <w:rsid w:val="00AA503E"/>
    <w:rsid w:val="00AC08F6"/>
    <w:rsid w:val="00AC2E7C"/>
    <w:rsid w:val="00AC442E"/>
    <w:rsid w:val="00AD431C"/>
    <w:rsid w:val="00AF748F"/>
    <w:rsid w:val="00AF7937"/>
    <w:rsid w:val="00B048BC"/>
    <w:rsid w:val="00B0659D"/>
    <w:rsid w:val="00B304BF"/>
    <w:rsid w:val="00B34A88"/>
    <w:rsid w:val="00B35C37"/>
    <w:rsid w:val="00B35F0C"/>
    <w:rsid w:val="00B3618B"/>
    <w:rsid w:val="00B40D01"/>
    <w:rsid w:val="00B552EA"/>
    <w:rsid w:val="00B67258"/>
    <w:rsid w:val="00B67FF0"/>
    <w:rsid w:val="00B866D4"/>
    <w:rsid w:val="00B930AE"/>
    <w:rsid w:val="00B93F55"/>
    <w:rsid w:val="00BA28F5"/>
    <w:rsid w:val="00BD45E3"/>
    <w:rsid w:val="00C002A3"/>
    <w:rsid w:val="00C07759"/>
    <w:rsid w:val="00C26E3E"/>
    <w:rsid w:val="00C62153"/>
    <w:rsid w:val="00C624FE"/>
    <w:rsid w:val="00C72CD2"/>
    <w:rsid w:val="00C857C3"/>
    <w:rsid w:val="00CB2AAC"/>
    <w:rsid w:val="00CC34B0"/>
    <w:rsid w:val="00CD4D61"/>
    <w:rsid w:val="00CE2BE6"/>
    <w:rsid w:val="00CF411B"/>
    <w:rsid w:val="00D0376F"/>
    <w:rsid w:val="00D07A87"/>
    <w:rsid w:val="00D42143"/>
    <w:rsid w:val="00D436F7"/>
    <w:rsid w:val="00D47960"/>
    <w:rsid w:val="00D83886"/>
    <w:rsid w:val="00D8645C"/>
    <w:rsid w:val="00D953B8"/>
    <w:rsid w:val="00DA16A0"/>
    <w:rsid w:val="00DE0822"/>
    <w:rsid w:val="00DE306A"/>
    <w:rsid w:val="00E179EC"/>
    <w:rsid w:val="00E211B4"/>
    <w:rsid w:val="00EA6617"/>
    <w:rsid w:val="00EB1F79"/>
    <w:rsid w:val="00EB2C88"/>
    <w:rsid w:val="00EC3D30"/>
    <w:rsid w:val="00EC7FC4"/>
    <w:rsid w:val="00EE11AC"/>
    <w:rsid w:val="00EF6B28"/>
    <w:rsid w:val="00F148FD"/>
    <w:rsid w:val="00F23136"/>
    <w:rsid w:val="00F24829"/>
    <w:rsid w:val="00F30557"/>
    <w:rsid w:val="00F311AF"/>
    <w:rsid w:val="00F312C9"/>
    <w:rsid w:val="00F457CF"/>
    <w:rsid w:val="00F64DFB"/>
    <w:rsid w:val="00F80D8D"/>
    <w:rsid w:val="00F85A46"/>
    <w:rsid w:val="00F87AC6"/>
    <w:rsid w:val="00F92D6B"/>
    <w:rsid w:val="00FA3900"/>
    <w:rsid w:val="00FB6A1D"/>
    <w:rsid w:val="00FF1A2F"/>
    <w:rsid w:val="00FF31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43769F1-BA6F-44E4-8DE5-0298A2E7B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C73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C7376"/>
    <w:pPr>
      <w:ind w:left="720"/>
      <w:contextualSpacing/>
    </w:pPr>
  </w:style>
  <w:style w:type="paragraph" w:styleId="Header">
    <w:name w:val="header"/>
    <w:basedOn w:val="Normal"/>
    <w:link w:val="HeaderChar"/>
    <w:uiPriority w:val="99"/>
    <w:unhideWhenUsed/>
    <w:rsid w:val="002144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4443"/>
  </w:style>
  <w:style w:type="paragraph" w:styleId="Footer">
    <w:name w:val="footer"/>
    <w:basedOn w:val="Normal"/>
    <w:link w:val="FooterChar"/>
    <w:uiPriority w:val="99"/>
    <w:unhideWhenUsed/>
    <w:rsid w:val="002144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4443"/>
  </w:style>
  <w:style w:type="character" w:styleId="Hyperlink">
    <w:name w:val="Hyperlink"/>
    <w:basedOn w:val="DefaultParagraphFont"/>
    <w:uiPriority w:val="99"/>
    <w:unhideWhenUsed/>
    <w:rsid w:val="008742A2"/>
    <w:rPr>
      <w:color w:val="0000FF" w:themeColor="hyperlink"/>
      <w:u w:val="single"/>
    </w:rPr>
  </w:style>
  <w:style w:type="paragraph" w:customStyle="1" w:styleId="Default">
    <w:name w:val="Default"/>
    <w:rsid w:val="00EB2C88"/>
    <w:pPr>
      <w:autoSpaceDE w:val="0"/>
      <w:autoSpaceDN w:val="0"/>
      <w:adjustRightInd w:val="0"/>
      <w:spacing w:after="0" w:line="240" w:lineRule="auto"/>
    </w:pPr>
    <w:rPr>
      <w:rFonts w:ascii="Arial" w:eastAsiaTheme="minorEastAsia" w:hAnsi="Arial" w:cs="Arial"/>
      <w:color w:val="000000"/>
      <w:sz w:val="24"/>
      <w:szCs w:val="24"/>
    </w:rPr>
  </w:style>
  <w:style w:type="paragraph" w:customStyle="1" w:styleId="GlEafterStemL2">
    <w:name w:val="GlEafterStemL2"/>
    <w:basedOn w:val="Normal"/>
    <w:rsid w:val="00EB2C88"/>
    <w:pPr>
      <w:spacing w:after="40" w:line="240" w:lineRule="auto"/>
      <w:ind w:left="378"/>
    </w:pPr>
    <w:rPr>
      <w:rFonts w:ascii="Times" w:eastAsia="Times New Roman" w:hAnsi="Times" w:cs="Times New Roman"/>
      <w:sz w:val="20"/>
      <w:szCs w:val="20"/>
    </w:rPr>
  </w:style>
  <w:style w:type="paragraph" w:styleId="BalloonText">
    <w:name w:val="Balloon Text"/>
    <w:basedOn w:val="Normal"/>
    <w:link w:val="BalloonTextChar"/>
    <w:uiPriority w:val="99"/>
    <w:semiHidden/>
    <w:unhideWhenUsed/>
    <w:rsid w:val="006D2E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E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education.alaska.gov/tls/assessment/2012comparison.html"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242</Words>
  <Characters>1381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Foy, Jeanne (EED)</dc:creator>
  <cp:lastModifiedBy>Riddle, Deborah A (EED)</cp:lastModifiedBy>
  <cp:revision>2</cp:revision>
  <cp:lastPrinted>2013-04-25T23:54:00Z</cp:lastPrinted>
  <dcterms:created xsi:type="dcterms:W3CDTF">2014-08-07T23:35:00Z</dcterms:created>
  <dcterms:modified xsi:type="dcterms:W3CDTF">2014-08-07T23:35:00Z</dcterms:modified>
</cp:coreProperties>
</file>