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i w:val="0"/>
        </w:rPr>
        <w:id w:val="-147753793"/>
        <w:docPartObj>
          <w:docPartGallery w:val="Cover Pages"/>
          <w:docPartUnique/>
        </w:docPartObj>
      </w:sdtPr>
      <w:sdtEndPr/>
      <w:sdtContent>
        <w:p w14:paraId="6EBCD981" w14:textId="77777777" w:rsidR="00953856" w:rsidRDefault="00953856" w:rsidP="009C501C">
          <w:pPr>
            <w:pStyle w:val="Style1"/>
          </w:pPr>
          <w:r>
            <w:rPr>
              <w:noProof/>
            </w:rPr>
            <w:drawing>
              <wp:inline distT="0" distB="0" distL="0" distR="0" wp14:anchorId="263D1B1F" wp14:editId="0E82269C">
                <wp:extent cx="4609294" cy="3343275"/>
                <wp:effectExtent l="133350" t="114300" r="134620" b="161925"/>
                <wp:docPr id="2" name="Picture 2" descr="Caribou crossing in front of Kenai Central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ibou crossing in front of Kenai Central High School."/>
                        <pic:cNvPicPr/>
                      </pic:nvPicPr>
                      <pic:blipFill>
                        <a:blip r:embed="rId8">
                          <a:extLst>
                            <a:ext uri="{28A0092B-C50C-407E-A947-70E740481C1C}">
                              <a14:useLocalDpi xmlns:a14="http://schemas.microsoft.com/office/drawing/2010/main" val="0"/>
                            </a:ext>
                          </a:extLst>
                        </a:blip>
                        <a:stretch>
                          <a:fillRect/>
                        </a:stretch>
                      </pic:blipFill>
                      <pic:spPr>
                        <a:xfrm>
                          <a:off x="0" y="0"/>
                          <a:ext cx="4609294" cy="3343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F10E57" w14:textId="1C23F55C" w:rsidR="00953856" w:rsidRPr="00954F51" w:rsidRDefault="00953856" w:rsidP="00953856">
          <w:pPr>
            <w:pStyle w:val="Style1"/>
          </w:pPr>
          <w:r w:rsidRPr="00954F51">
            <w:t xml:space="preserve">Photograph by </w:t>
          </w:r>
          <w:r w:rsidR="00EF0FA7">
            <w:t>Barry Hartman, Kenai Central High School</w:t>
          </w:r>
        </w:p>
        <w:p w14:paraId="03C00FC7" w14:textId="77777777" w:rsidR="00953856" w:rsidRPr="00021D33" w:rsidRDefault="00953856" w:rsidP="00953856">
          <w:pPr>
            <w:pStyle w:val="Footer"/>
            <w:tabs>
              <w:tab w:val="clear" w:pos="4680"/>
              <w:tab w:val="clear" w:pos="9360"/>
            </w:tabs>
            <w:spacing w:after="480" w:line="720" w:lineRule="auto"/>
          </w:pPr>
        </w:p>
        <w:p w14:paraId="7A29F58B" w14:textId="77777777" w:rsidR="00953856" w:rsidRPr="00954F51" w:rsidRDefault="00953856" w:rsidP="00953856">
          <w:pPr>
            <w:pStyle w:val="Title"/>
            <w:jc w:val="center"/>
          </w:pPr>
          <w:r w:rsidRPr="00A907DD">
            <w:rPr>
              <w:rFonts w:ascii="Times New Roman" w:hAnsi="Times New Roman" w:cs="Times New Roman"/>
              <w:b/>
            </w:rPr>
            <w:t xml:space="preserve">ALASKA PROFESSIONAL TEACHING </w:t>
          </w:r>
          <w:r w:rsidRPr="00954F51">
            <w:rPr>
              <w:rFonts w:ascii="Times New Roman" w:hAnsi="Times New Roman" w:cs="Times New Roman"/>
              <w:b/>
            </w:rPr>
            <w:t>PRACTICES COMMISSION</w:t>
          </w:r>
        </w:p>
        <w:p w14:paraId="36BDD4CD" w14:textId="77777777" w:rsidR="00953856" w:rsidRPr="00A907DD" w:rsidRDefault="00953856" w:rsidP="00953856">
          <w:pPr>
            <w:pStyle w:val="Title"/>
            <w:jc w:val="center"/>
            <w:rPr>
              <w:rFonts w:ascii="Times New Roman" w:hAnsi="Times New Roman" w:cs="Times New Roman"/>
              <w:b/>
            </w:rPr>
          </w:pPr>
        </w:p>
        <w:p w14:paraId="2B998754" w14:textId="77777777" w:rsidR="00953856" w:rsidRPr="00A907DD" w:rsidRDefault="00953856" w:rsidP="00953856">
          <w:pPr>
            <w:pStyle w:val="Title"/>
            <w:jc w:val="center"/>
            <w:rPr>
              <w:rFonts w:ascii="Times New Roman" w:hAnsi="Times New Roman" w:cs="Times New Roman"/>
              <w:b/>
            </w:rPr>
          </w:pPr>
          <w:r w:rsidRPr="00A907DD">
            <w:rPr>
              <w:rFonts w:ascii="Times New Roman" w:hAnsi="Times New Roman" w:cs="Times New Roman"/>
              <w:b/>
            </w:rPr>
            <w:t>ANNUAL REPORT</w:t>
          </w:r>
        </w:p>
        <w:p w14:paraId="3BE9669A" w14:textId="63084224" w:rsidR="00953856" w:rsidRPr="00A907DD" w:rsidRDefault="00953856" w:rsidP="00953856">
          <w:pPr>
            <w:pStyle w:val="Title"/>
            <w:jc w:val="center"/>
            <w:rPr>
              <w:rFonts w:ascii="Times New Roman" w:hAnsi="Times New Roman" w:cs="Times New Roman"/>
              <w:b/>
            </w:rPr>
          </w:pPr>
          <w:r w:rsidRPr="00A907DD">
            <w:rPr>
              <w:rFonts w:ascii="Times New Roman" w:hAnsi="Times New Roman" w:cs="Times New Roman"/>
              <w:b/>
            </w:rPr>
            <w:t>20</w:t>
          </w:r>
          <w:r w:rsidR="00EF0FA7">
            <w:rPr>
              <w:rFonts w:ascii="Times New Roman" w:hAnsi="Times New Roman" w:cs="Times New Roman"/>
              <w:b/>
            </w:rPr>
            <w:t>20</w:t>
          </w:r>
        </w:p>
        <w:p w14:paraId="0411E78F" w14:textId="77777777" w:rsidR="00953856" w:rsidRDefault="00953856" w:rsidP="00953856">
          <w:pPr>
            <w:pStyle w:val="Footer"/>
            <w:tabs>
              <w:tab w:val="clear" w:pos="4680"/>
              <w:tab w:val="clear" w:pos="9360"/>
            </w:tabs>
            <w:spacing w:after="160" w:line="259" w:lineRule="auto"/>
            <w:rPr>
              <w:b/>
              <w:bCs/>
              <w:i/>
              <w:iCs/>
              <w:sz w:val="28"/>
              <w:szCs w:val="28"/>
            </w:rPr>
          </w:pPr>
          <w:r>
            <w:br w:type="page"/>
          </w:r>
        </w:p>
      </w:sdtContent>
    </w:sdt>
    <w:p w14:paraId="3DED029C" w14:textId="77777777" w:rsidR="00953856" w:rsidRDefault="00953856" w:rsidP="00953856">
      <w:pPr>
        <w:pStyle w:val="Heading1"/>
      </w:pPr>
      <w:r w:rsidRPr="00A362C6">
        <w:lastRenderedPageBreak/>
        <w:t>ANNUAL REPORT OF THE PROFESSIONAL TEACHING PRACTICES COMMISSION</w:t>
      </w:r>
    </w:p>
    <w:p w14:paraId="4889F436" w14:textId="77777777" w:rsidR="00953856" w:rsidRPr="00A907DD" w:rsidRDefault="00953856" w:rsidP="00953856">
      <w:pPr>
        <w:pStyle w:val="Heading2"/>
      </w:pPr>
      <w:r w:rsidRPr="00321E9D">
        <w:t>INTRODUCTION</w:t>
      </w:r>
    </w:p>
    <w:p w14:paraId="6F6A97C7" w14:textId="55C9940C" w:rsidR="00953856" w:rsidRPr="00321E9D" w:rsidRDefault="00953856" w:rsidP="00953856">
      <w:pPr>
        <w:widowControl w:val="0"/>
        <w:rPr>
          <w:sz w:val="25"/>
          <w:szCs w:val="25"/>
        </w:rPr>
      </w:pPr>
      <w:r w:rsidRPr="00321E9D">
        <w:rPr>
          <w:sz w:val="25"/>
          <w:szCs w:val="25"/>
        </w:rPr>
        <w:t xml:space="preserve">The Alaska State Professional Teaching Practices Commission (PTPC) submits its report for Fiscal Year </w:t>
      </w:r>
      <w:r>
        <w:rPr>
          <w:sz w:val="25"/>
          <w:szCs w:val="25"/>
        </w:rPr>
        <w:t>20</w:t>
      </w:r>
      <w:r w:rsidR="00FF0C44">
        <w:rPr>
          <w:sz w:val="25"/>
          <w:szCs w:val="25"/>
        </w:rPr>
        <w:t>20</w:t>
      </w:r>
      <w:r w:rsidRPr="00321E9D">
        <w:rPr>
          <w:sz w:val="25"/>
          <w:szCs w:val="25"/>
        </w:rPr>
        <w:t xml:space="preserve">.  This report cites the activities and services of the PTPC as authorized by Alaska </w:t>
      </w:r>
      <w:r>
        <w:rPr>
          <w:sz w:val="25"/>
          <w:szCs w:val="25"/>
        </w:rPr>
        <w:t>Statutes, Title 14, Chapter 20,</w:t>
      </w:r>
      <w:r w:rsidRPr="00321E9D">
        <w:rPr>
          <w:sz w:val="25"/>
          <w:szCs w:val="25"/>
        </w:rPr>
        <w:t xml:space="preserve"> Article 5, entitled “The Professional Teaching Practices Act.”</w:t>
      </w:r>
      <w:r>
        <w:rPr>
          <w:sz w:val="25"/>
          <w:szCs w:val="25"/>
        </w:rPr>
        <w:t xml:space="preserve"> Since FY 2016 the PTPC has funded solely by certification fees. This was per legislative intent and is in accordance with AS 14.20.500.</w:t>
      </w:r>
    </w:p>
    <w:p w14:paraId="674D972A" w14:textId="77777777" w:rsidR="00953856" w:rsidRPr="00321E9D" w:rsidRDefault="00953856" w:rsidP="00953856">
      <w:pPr>
        <w:widowControl w:val="0"/>
      </w:pPr>
    </w:p>
    <w:p w14:paraId="26AD196D" w14:textId="77777777" w:rsidR="00953856" w:rsidRPr="00321E9D" w:rsidRDefault="00953856" w:rsidP="00953856">
      <w:pPr>
        <w:widowControl w:val="0"/>
        <w:rPr>
          <w:sz w:val="25"/>
          <w:szCs w:val="25"/>
        </w:rPr>
      </w:pPr>
      <w:r w:rsidRPr="00321E9D">
        <w:rPr>
          <w:sz w:val="25"/>
          <w:szCs w:val="25"/>
        </w:rPr>
        <w:t xml:space="preserve">The Commission governs matters of ethical and professional standards of educators and their compliance with </w:t>
      </w:r>
      <w:r>
        <w:rPr>
          <w:sz w:val="25"/>
          <w:szCs w:val="25"/>
        </w:rPr>
        <w:t>state law</w:t>
      </w:r>
      <w:r w:rsidRPr="00321E9D">
        <w:rPr>
          <w:sz w:val="25"/>
          <w:szCs w:val="25"/>
        </w:rPr>
        <w:t xml:space="preserve"> and contractual obligations.</w:t>
      </w:r>
    </w:p>
    <w:p w14:paraId="59B5250A" w14:textId="77777777" w:rsidR="00953856" w:rsidRPr="00321E9D" w:rsidRDefault="00953856" w:rsidP="00953856">
      <w:pPr>
        <w:widowControl w:val="0"/>
      </w:pPr>
    </w:p>
    <w:p w14:paraId="155AE48D" w14:textId="5949B62A" w:rsidR="00953856" w:rsidRDefault="00953856" w:rsidP="00953856">
      <w:pPr>
        <w:pStyle w:val="BodyText2"/>
        <w:spacing w:after="0"/>
      </w:pPr>
      <w:r w:rsidRPr="00321E9D">
        <w:t xml:space="preserve">This report contains a synopsis of activities of the Commission from July 1, </w:t>
      </w:r>
      <w:r>
        <w:t>201</w:t>
      </w:r>
      <w:r w:rsidR="00FF0C44">
        <w:t>9</w:t>
      </w:r>
      <w:r w:rsidRPr="00321E9D">
        <w:t xml:space="preserve"> through June 30, 20</w:t>
      </w:r>
      <w:r w:rsidR="00FF0C44">
        <w:t>20</w:t>
      </w:r>
      <w:r>
        <w:t>.  It is</w:t>
      </w:r>
      <w:r w:rsidRPr="00321E9D">
        <w:t xml:space="preserve"> prepared on behalf of the Commission by </w:t>
      </w:r>
      <w:r>
        <w:t>the Executive Director, Melody Mann.</w:t>
      </w:r>
    </w:p>
    <w:p w14:paraId="7BDE4AE3" w14:textId="77777777" w:rsidR="00C527B0" w:rsidRPr="00A907DD" w:rsidRDefault="00C527B0" w:rsidP="00953856">
      <w:pPr>
        <w:pStyle w:val="BodyText2"/>
        <w:spacing w:after="0"/>
      </w:pPr>
    </w:p>
    <w:p w14:paraId="7697CCD3" w14:textId="4DD1E78D" w:rsidR="00953856" w:rsidRPr="00FD4152" w:rsidRDefault="00953856" w:rsidP="00C527B0">
      <w:pPr>
        <w:pStyle w:val="Heading2"/>
        <w:spacing w:line="480" w:lineRule="auto"/>
      </w:pPr>
      <w:r w:rsidRPr="00FD4152">
        <w:t>WHAT IS THE PROFESSIONAL TEACHING</w:t>
      </w:r>
      <w:r w:rsidR="00C527B0">
        <w:t xml:space="preserve"> </w:t>
      </w:r>
      <w:r w:rsidRPr="00FD4152">
        <w:t>PRACTICES COMMISSION?</w:t>
      </w:r>
    </w:p>
    <w:p w14:paraId="3899BE87" w14:textId="369167EB" w:rsidR="00953856" w:rsidRPr="00321E9D" w:rsidRDefault="00953856" w:rsidP="00953856">
      <w:pPr>
        <w:widowControl w:val="0"/>
        <w:rPr>
          <w:sz w:val="25"/>
          <w:szCs w:val="25"/>
        </w:rPr>
      </w:pPr>
      <w:r w:rsidRPr="00321E9D">
        <w:rPr>
          <w:sz w:val="25"/>
          <w:szCs w:val="25"/>
        </w:rPr>
        <w:t xml:space="preserve">In 1966, the education profession in the State of Alaska was granted the right and responsibility to define and to enforce ethical standards of its members.  The Alaska Legislature established and empowered a nine-member Commission to impose sanctions against the certificates of educators who engaged in illegal, immoral, or unethical conduct.  The </w:t>
      </w:r>
      <w:r w:rsidRPr="00321E9D">
        <w:rPr>
          <w:i/>
          <w:sz w:val="25"/>
          <w:szCs w:val="25"/>
        </w:rPr>
        <w:t>Professional Teaching Practices Commission</w:t>
      </w:r>
      <w:r w:rsidRPr="00321E9D">
        <w:rPr>
          <w:sz w:val="25"/>
          <w:szCs w:val="25"/>
        </w:rPr>
        <w:t xml:space="preserve"> is composed of five teachers, one superintendent, one principal, one representative of the Department of Education &amp; Early Development, and one re</w:t>
      </w:r>
      <w:r>
        <w:rPr>
          <w:sz w:val="25"/>
          <w:szCs w:val="25"/>
        </w:rPr>
        <w:t>presentative of higher learning</w:t>
      </w:r>
      <w:r w:rsidRPr="00321E9D">
        <w:rPr>
          <w:sz w:val="25"/>
          <w:szCs w:val="25"/>
        </w:rPr>
        <w:t>.  Constitu</w:t>
      </w:r>
      <w:r>
        <w:rPr>
          <w:sz w:val="25"/>
          <w:szCs w:val="25"/>
        </w:rPr>
        <w:t xml:space="preserve">ent groups nominate </w:t>
      </w:r>
      <w:r w:rsidR="00C527B0">
        <w:rPr>
          <w:sz w:val="25"/>
          <w:szCs w:val="25"/>
        </w:rPr>
        <w:t>candidates,</w:t>
      </w:r>
      <w:r>
        <w:rPr>
          <w:sz w:val="25"/>
          <w:szCs w:val="25"/>
        </w:rPr>
        <w:t xml:space="preserve"> and </w:t>
      </w:r>
      <w:r w:rsidRPr="00321E9D">
        <w:rPr>
          <w:sz w:val="25"/>
          <w:szCs w:val="25"/>
        </w:rPr>
        <w:t xml:space="preserve">the governor appoints the Commissioners </w:t>
      </w:r>
      <w:r>
        <w:rPr>
          <w:sz w:val="25"/>
          <w:szCs w:val="25"/>
        </w:rPr>
        <w:t>who are then subject to</w:t>
      </w:r>
      <w:r w:rsidRPr="00321E9D">
        <w:rPr>
          <w:sz w:val="25"/>
          <w:szCs w:val="25"/>
        </w:rPr>
        <w:t xml:space="preserve"> approval of the Legislature.</w:t>
      </w:r>
    </w:p>
    <w:p w14:paraId="7D2F0EE4" w14:textId="77777777" w:rsidR="00953856" w:rsidRPr="00321E9D" w:rsidRDefault="00953856" w:rsidP="00953856">
      <w:pPr>
        <w:widowControl w:val="0"/>
      </w:pPr>
    </w:p>
    <w:p w14:paraId="115B3678" w14:textId="77777777" w:rsidR="00953856" w:rsidRDefault="00953856" w:rsidP="00953856">
      <w:pPr>
        <w:pStyle w:val="BodyText2"/>
      </w:pPr>
      <w:r w:rsidRPr="00321E9D">
        <w:t>Commission staff investig</w:t>
      </w:r>
      <w:r>
        <w:t xml:space="preserve">ates allegations of misconduct </w:t>
      </w:r>
      <w:r w:rsidRPr="00321E9D">
        <w:t>and partners with Department of Law to present cases to the Commission.  As a quasi-judicial body, the Commission has the power to impose sanctions against the certificates of those found, by a preponderance of the evidence, to be in violation of the Code of Ethics of the Education Profession.</w:t>
      </w:r>
    </w:p>
    <w:p w14:paraId="734553F6" w14:textId="77777777" w:rsidR="00953856" w:rsidRPr="00321E9D" w:rsidRDefault="00953856" w:rsidP="00953856">
      <w:pPr>
        <w:widowControl w:val="0"/>
        <w:rPr>
          <w:sz w:val="25"/>
          <w:szCs w:val="25"/>
        </w:rPr>
      </w:pPr>
      <w:r w:rsidRPr="00321E9D">
        <w:rPr>
          <w:sz w:val="25"/>
          <w:szCs w:val="25"/>
        </w:rPr>
        <w:t>The Commission has jurisdiction over all certificated members of the education profession, including administrators</w:t>
      </w:r>
      <w:r>
        <w:rPr>
          <w:sz w:val="25"/>
          <w:szCs w:val="25"/>
        </w:rPr>
        <w:t>,</w:t>
      </w:r>
      <w:r w:rsidRPr="00321E9D">
        <w:rPr>
          <w:sz w:val="25"/>
          <w:szCs w:val="25"/>
        </w:rPr>
        <w:t xml:space="preserve"> </w:t>
      </w:r>
      <w:r>
        <w:rPr>
          <w:sz w:val="25"/>
          <w:szCs w:val="25"/>
        </w:rPr>
        <w:t xml:space="preserve">student teachers, </w:t>
      </w:r>
      <w:r w:rsidRPr="00321E9D">
        <w:rPr>
          <w:sz w:val="25"/>
          <w:szCs w:val="25"/>
        </w:rPr>
        <w:t xml:space="preserve">and instructors in </w:t>
      </w:r>
      <w:r>
        <w:rPr>
          <w:sz w:val="25"/>
          <w:szCs w:val="25"/>
        </w:rPr>
        <w:t>institutions of higher learning</w:t>
      </w:r>
      <w:r w:rsidRPr="00321E9D">
        <w:rPr>
          <w:sz w:val="25"/>
          <w:szCs w:val="25"/>
        </w:rPr>
        <w:t>. The Commissions’ order is final in disciplinary</w:t>
      </w:r>
      <w:r>
        <w:rPr>
          <w:sz w:val="25"/>
          <w:szCs w:val="25"/>
        </w:rPr>
        <w:t xml:space="preserve"> matters regarding a teacher. </w:t>
      </w:r>
      <w:r w:rsidRPr="00321E9D">
        <w:rPr>
          <w:sz w:val="25"/>
          <w:szCs w:val="25"/>
        </w:rPr>
        <w:t>Before the certifi</w:t>
      </w:r>
      <w:r>
        <w:rPr>
          <w:sz w:val="25"/>
          <w:szCs w:val="25"/>
        </w:rPr>
        <w:t xml:space="preserve">cate of an administrator is </w:t>
      </w:r>
      <w:r w:rsidRPr="00321E9D">
        <w:rPr>
          <w:sz w:val="25"/>
          <w:szCs w:val="25"/>
        </w:rPr>
        <w:t xml:space="preserve">sanctioned, the Commissioner of </w:t>
      </w:r>
      <w:r>
        <w:rPr>
          <w:sz w:val="25"/>
          <w:szCs w:val="25"/>
        </w:rPr>
        <w:t xml:space="preserve">the Department of </w:t>
      </w:r>
      <w:r w:rsidRPr="00321E9D">
        <w:rPr>
          <w:sz w:val="25"/>
          <w:szCs w:val="25"/>
        </w:rPr>
        <w:t xml:space="preserve">Education &amp; </w:t>
      </w:r>
      <w:r>
        <w:rPr>
          <w:sz w:val="25"/>
          <w:szCs w:val="25"/>
        </w:rPr>
        <w:t xml:space="preserve">Early Development must concur. </w:t>
      </w:r>
      <w:r w:rsidRPr="00321E9D">
        <w:rPr>
          <w:sz w:val="25"/>
          <w:szCs w:val="25"/>
        </w:rPr>
        <w:t>A final order of the Commission may be appealed to the Superior Court.</w:t>
      </w:r>
    </w:p>
    <w:p w14:paraId="45B2F150" w14:textId="77777777" w:rsidR="00953856" w:rsidRPr="00321E9D" w:rsidRDefault="00953856" w:rsidP="00953856">
      <w:pPr>
        <w:widowControl w:val="0"/>
      </w:pPr>
    </w:p>
    <w:p w14:paraId="7CE06818" w14:textId="77777777" w:rsidR="00953856" w:rsidRPr="00321E9D" w:rsidRDefault="00953856" w:rsidP="00953856">
      <w:pPr>
        <w:rPr>
          <w:sz w:val="25"/>
          <w:szCs w:val="25"/>
        </w:rPr>
      </w:pPr>
      <w:r w:rsidRPr="00321E9D">
        <w:rPr>
          <w:sz w:val="25"/>
          <w:szCs w:val="25"/>
        </w:rPr>
        <w:t xml:space="preserve">Educators are assigned the responsibility of caring for children and are placed in a position of public trust.  Education is a profession, that by its very nature, stresses the value, worth, and dignity of all individuals.  Educators are tasked with developing each student’s potential, and as such, act as role models for students.  It is essential, therefore, that educators sustain the highest degree of ethical conduct. </w:t>
      </w:r>
    </w:p>
    <w:p w14:paraId="48065F59" w14:textId="77777777" w:rsidR="00953856" w:rsidRPr="00321E9D" w:rsidRDefault="00953856" w:rsidP="00953856">
      <w:pPr>
        <w:widowControl w:val="0"/>
      </w:pPr>
    </w:p>
    <w:p w14:paraId="3784B246" w14:textId="77777777" w:rsidR="00953856" w:rsidRPr="00321E9D" w:rsidRDefault="00953856" w:rsidP="00953856">
      <w:pPr>
        <w:widowControl w:val="0"/>
        <w:rPr>
          <w:sz w:val="25"/>
          <w:szCs w:val="25"/>
        </w:rPr>
      </w:pPr>
      <w:r w:rsidRPr="00321E9D">
        <w:rPr>
          <w:sz w:val="25"/>
          <w:szCs w:val="25"/>
        </w:rPr>
        <w:t>In their commitment to quality education, the members of the Professional Teaching Practices Commission hold their colleagues to the higher ethical standard that is demanded of a profession entrusted with the care and teaching of children.</w:t>
      </w:r>
    </w:p>
    <w:p w14:paraId="78B7F234" w14:textId="77777777" w:rsidR="00953856" w:rsidRPr="00321E9D" w:rsidRDefault="00953856" w:rsidP="00953856">
      <w:pPr>
        <w:widowControl w:val="0"/>
        <w:rPr>
          <w:sz w:val="25"/>
          <w:szCs w:val="25"/>
        </w:rPr>
      </w:pPr>
    </w:p>
    <w:p w14:paraId="2D6F591A" w14:textId="2598DFA8" w:rsidR="00953856" w:rsidRPr="000402C2" w:rsidRDefault="00953856" w:rsidP="000402C2">
      <w:pPr>
        <w:spacing w:after="160" w:line="259" w:lineRule="auto"/>
      </w:pPr>
      <w:r>
        <w:br w:type="page"/>
      </w:r>
    </w:p>
    <w:p w14:paraId="23BA1111" w14:textId="77777777" w:rsidR="00953856" w:rsidRPr="00E451D8" w:rsidRDefault="00953856" w:rsidP="000402C2">
      <w:pPr>
        <w:pStyle w:val="Heading2"/>
        <w:spacing w:after="0" w:line="480" w:lineRule="auto"/>
      </w:pPr>
      <w:r>
        <w:lastRenderedPageBreak/>
        <w:t>DISCIPLINARY ACTION</w:t>
      </w:r>
    </w:p>
    <w:p w14:paraId="342D6BC1" w14:textId="77777777" w:rsidR="00953856" w:rsidRPr="008D074D" w:rsidRDefault="00953856" w:rsidP="00953856">
      <w:pPr>
        <w:pStyle w:val="Heading3"/>
      </w:pPr>
      <w:r>
        <w:tab/>
      </w:r>
      <w:r w:rsidRPr="008D074D">
        <w:t xml:space="preserve">Pursuant to Alaska Statutes 14.20.470, the PTPC has the power to: </w:t>
      </w:r>
    </w:p>
    <w:p w14:paraId="4D8B95E4" w14:textId="77777777" w:rsidR="00953856" w:rsidRPr="000A7AA3" w:rsidRDefault="00953856" w:rsidP="00953856">
      <w:pPr>
        <w:widowControl w:val="0"/>
        <w:rPr>
          <w:color w:val="000000" w:themeColor="text1"/>
          <w:sz w:val="24"/>
          <w:szCs w:val="24"/>
        </w:rPr>
      </w:pPr>
      <w:r>
        <w:rPr>
          <w:sz w:val="24"/>
          <w:szCs w:val="24"/>
        </w:rPr>
        <w:tab/>
      </w:r>
      <w:r w:rsidRPr="000A7AA3">
        <w:rPr>
          <w:sz w:val="24"/>
          <w:szCs w:val="24"/>
        </w:rPr>
        <w:t>1</w:t>
      </w:r>
      <w:r w:rsidRPr="000A7AA3">
        <w:rPr>
          <w:color w:val="000000" w:themeColor="text1"/>
          <w:sz w:val="24"/>
          <w:szCs w:val="24"/>
        </w:rPr>
        <w:t xml:space="preserve">.  </w:t>
      </w:r>
      <w:r w:rsidRPr="000A7AA3">
        <w:rPr>
          <w:b/>
          <w:color w:val="000000" w:themeColor="text1"/>
          <w:sz w:val="24"/>
          <w:szCs w:val="24"/>
          <w:u w:val="single"/>
        </w:rPr>
        <w:t>Warn</w:t>
      </w:r>
      <w:r>
        <w:rPr>
          <w:b/>
          <w:color w:val="000000" w:themeColor="text1"/>
          <w:sz w:val="24"/>
          <w:szCs w:val="24"/>
        </w:rPr>
        <w:t>.</w:t>
      </w:r>
      <w:r w:rsidRPr="000A7AA3">
        <w:rPr>
          <w:color w:val="000000" w:themeColor="text1"/>
          <w:sz w:val="24"/>
          <w:szCs w:val="24"/>
        </w:rPr>
        <w:t xml:space="preserve"> A warning stipulates that the considered conduct is unethical, and if not correcte</w:t>
      </w:r>
      <w:r>
        <w:rPr>
          <w:color w:val="000000" w:themeColor="text1"/>
          <w:sz w:val="24"/>
          <w:szCs w:val="24"/>
        </w:rPr>
        <w:t xml:space="preserve">d, a more serious sanction could be imposed. A warning is </w:t>
      </w:r>
      <w:r w:rsidRPr="000A7AA3">
        <w:rPr>
          <w:color w:val="000000" w:themeColor="text1"/>
          <w:sz w:val="24"/>
          <w:szCs w:val="24"/>
        </w:rPr>
        <w:t xml:space="preserve">private communication with the educator; however, </w:t>
      </w:r>
      <w:r>
        <w:rPr>
          <w:color w:val="000000" w:themeColor="text1"/>
          <w:sz w:val="24"/>
          <w:szCs w:val="24"/>
        </w:rPr>
        <w:t xml:space="preserve">it is </w:t>
      </w:r>
      <w:r w:rsidRPr="000A7AA3">
        <w:rPr>
          <w:color w:val="000000" w:themeColor="text1"/>
          <w:sz w:val="24"/>
          <w:szCs w:val="24"/>
        </w:rPr>
        <w:t>a matter of public record.</w:t>
      </w:r>
    </w:p>
    <w:p w14:paraId="7F02304E" w14:textId="77777777" w:rsidR="00953856" w:rsidRPr="000A7AA3" w:rsidRDefault="00953856" w:rsidP="00953856">
      <w:pPr>
        <w:widowControl w:val="0"/>
        <w:rPr>
          <w:color w:val="000000" w:themeColor="text1"/>
          <w:sz w:val="24"/>
          <w:szCs w:val="24"/>
        </w:rPr>
      </w:pPr>
    </w:p>
    <w:p w14:paraId="1204106F" w14:textId="77777777" w:rsidR="00953856" w:rsidRPr="000A7AA3" w:rsidRDefault="00953856" w:rsidP="00953856">
      <w:pPr>
        <w:widowControl w:val="0"/>
        <w:rPr>
          <w:color w:val="000000" w:themeColor="text1"/>
          <w:sz w:val="24"/>
          <w:szCs w:val="24"/>
        </w:rPr>
      </w:pPr>
      <w:r w:rsidRPr="000A7AA3">
        <w:rPr>
          <w:color w:val="000000" w:themeColor="text1"/>
          <w:sz w:val="24"/>
          <w:szCs w:val="24"/>
        </w:rPr>
        <w:tab/>
        <w:t xml:space="preserve">2.  </w:t>
      </w:r>
      <w:r w:rsidRPr="000A7AA3">
        <w:rPr>
          <w:b/>
          <w:color w:val="000000" w:themeColor="text1"/>
          <w:sz w:val="24"/>
          <w:szCs w:val="24"/>
          <w:u w:val="single"/>
        </w:rPr>
        <w:t>Reprimand</w:t>
      </w:r>
      <w:r w:rsidRPr="000A7AA3">
        <w:rPr>
          <w:b/>
          <w:color w:val="000000" w:themeColor="text1"/>
          <w:sz w:val="24"/>
          <w:szCs w:val="24"/>
        </w:rPr>
        <w:t>.</w:t>
      </w:r>
      <w:r>
        <w:rPr>
          <w:color w:val="000000" w:themeColor="text1"/>
          <w:sz w:val="24"/>
          <w:szCs w:val="24"/>
        </w:rPr>
        <w:t xml:space="preserve">  In the event of a reprimand,</w:t>
      </w:r>
      <w:r w:rsidRPr="000A7AA3">
        <w:rPr>
          <w:color w:val="000000" w:themeColor="text1"/>
          <w:sz w:val="24"/>
          <w:szCs w:val="24"/>
        </w:rPr>
        <w:t xml:space="preserve"> members of the education community are informed of the action, and record of the sanction is placed in the certification file.</w:t>
      </w:r>
      <w:r>
        <w:rPr>
          <w:color w:val="000000" w:themeColor="text1"/>
          <w:sz w:val="24"/>
          <w:szCs w:val="24"/>
        </w:rPr>
        <w:t xml:space="preserve"> A reprimand is reported to the NASDTEC Clearinghouse for national distribution.</w:t>
      </w:r>
    </w:p>
    <w:p w14:paraId="40F71B9C" w14:textId="77777777" w:rsidR="00953856" w:rsidRPr="000A7AA3" w:rsidRDefault="00953856" w:rsidP="00953856">
      <w:pPr>
        <w:widowControl w:val="0"/>
        <w:rPr>
          <w:color w:val="000000" w:themeColor="text1"/>
          <w:sz w:val="24"/>
          <w:szCs w:val="24"/>
        </w:rPr>
      </w:pPr>
    </w:p>
    <w:p w14:paraId="62EB0CBB" w14:textId="77777777" w:rsidR="00953856" w:rsidRPr="000A7AA3" w:rsidRDefault="00953856" w:rsidP="00953856">
      <w:pPr>
        <w:widowControl w:val="0"/>
        <w:rPr>
          <w:color w:val="000000" w:themeColor="text1"/>
          <w:sz w:val="24"/>
          <w:szCs w:val="24"/>
        </w:rPr>
      </w:pPr>
      <w:r w:rsidRPr="000A7AA3">
        <w:rPr>
          <w:color w:val="000000" w:themeColor="text1"/>
          <w:sz w:val="24"/>
          <w:szCs w:val="24"/>
        </w:rPr>
        <w:tab/>
        <w:t xml:space="preserve">3.  </w:t>
      </w:r>
      <w:r w:rsidRPr="000A7AA3">
        <w:rPr>
          <w:b/>
          <w:color w:val="000000" w:themeColor="text1"/>
          <w:sz w:val="24"/>
          <w:szCs w:val="24"/>
          <w:u w:val="single"/>
        </w:rPr>
        <w:t>Suspen</w:t>
      </w:r>
      <w:r>
        <w:rPr>
          <w:b/>
          <w:color w:val="000000" w:themeColor="text1"/>
          <w:sz w:val="24"/>
          <w:szCs w:val="24"/>
          <w:u w:val="single"/>
        </w:rPr>
        <w:t>d</w:t>
      </w:r>
      <w:r w:rsidRPr="000A7AA3">
        <w:rPr>
          <w:b/>
          <w:color w:val="000000" w:themeColor="text1"/>
          <w:sz w:val="24"/>
          <w:szCs w:val="24"/>
        </w:rPr>
        <w:t>.</w:t>
      </w:r>
      <w:r w:rsidRPr="000A7AA3">
        <w:rPr>
          <w:color w:val="000000" w:themeColor="text1"/>
          <w:sz w:val="24"/>
          <w:szCs w:val="24"/>
        </w:rPr>
        <w:t xml:space="preserve">  In the event of a suspension, members of the education communi</w:t>
      </w:r>
      <w:r>
        <w:rPr>
          <w:color w:val="000000" w:themeColor="text1"/>
          <w:sz w:val="24"/>
          <w:szCs w:val="24"/>
        </w:rPr>
        <w:t xml:space="preserve">ty are informed of the action. </w:t>
      </w:r>
      <w:r w:rsidRPr="000A7AA3">
        <w:rPr>
          <w:color w:val="000000" w:themeColor="text1"/>
          <w:sz w:val="24"/>
          <w:szCs w:val="24"/>
        </w:rPr>
        <w:t>A suspension may include conditions which must be met before the</w:t>
      </w:r>
      <w:r>
        <w:rPr>
          <w:color w:val="000000" w:themeColor="text1"/>
          <w:sz w:val="24"/>
          <w:szCs w:val="24"/>
        </w:rPr>
        <w:t xml:space="preserve"> certificate will be reinstated. A suspension means loss of a certificate for a specific period of time. A suspension is reported to the NASDTEC Clearinghouse for national distribution.</w:t>
      </w:r>
    </w:p>
    <w:p w14:paraId="6E5452B3" w14:textId="77777777" w:rsidR="00953856" w:rsidRPr="000A7AA3" w:rsidRDefault="00953856" w:rsidP="00953856">
      <w:pPr>
        <w:widowControl w:val="0"/>
        <w:rPr>
          <w:color w:val="000000" w:themeColor="text1"/>
          <w:sz w:val="24"/>
          <w:szCs w:val="24"/>
        </w:rPr>
      </w:pPr>
    </w:p>
    <w:p w14:paraId="33F58507" w14:textId="77777777" w:rsidR="00953856" w:rsidRDefault="00953856" w:rsidP="00953856">
      <w:pPr>
        <w:widowControl w:val="0"/>
        <w:rPr>
          <w:u w:val="single"/>
        </w:rPr>
      </w:pPr>
      <w:r w:rsidRPr="000A7AA3">
        <w:rPr>
          <w:color w:val="000000" w:themeColor="text1"/>
          <w:sz w:val="24"/>
          <w:szCs w:val="24"/>
        </w:rPr>
        <w:tab/>
        <w:t xml:space="preserve">4.  </w:t>
      </w:r>
      <w:r w:rsidRPr="000A7AA3">
        <w:rPr>
          <w:b/>
          <w:color w:val="000000" w:themeColor="text1"/>
          <w:sz w:val="24"/>
          <w:szCs w:val="24"/>
          <w:u w:val="single"/>
        </w:rPr>
        <w:t>Revo</w:t>
      </w:r>
      <w:r>
        <w:rPr>
          <w:b/>
          <w:color w:val="000000" w:themeColor="text1"/>
          <w:sz w:val="24"/>
          <w:szCs w:val="24"/>
          <w:u w:val="single"/>
        </w:rPr>
        <w:t>ke</w:t>
      </w:r>
      <w:r w:rsidRPr="000A7AA3">
        <w:rPr>
          <w:color w:val="000000" w:themeColor="text1"/>
          <w:sz w:val="24"/>
          <w:szCs w:val="24"/>
        </w:rPr>
        <w:t>.  In the event of a revocation, members of the education community are inform</w:t>
      </w:r>
      <w:r>
        <w:rPr>
          <w:color w:val="000000" w:themeColor="text1"/>
          <w:sz w:val="24"/>
          <w:szCs w:val="24"/>
        </w:rPr>
        <w:t>ed of the disciplinary action. Unless a certificate is revoked for life, a</w:t>
      </w:r>
      <w:r w:rsidRPr="000A7AA3">
        <w:rPr>
          <w:color w:val="000000" w:themeColor="text1"/>
          <w:sz w:val="24"/>
          <w:szCs w:val="24"/>
        </w:rPr>
        <w:t>n educat</w:t>
      </w:r>
      <w:r>
        <w:rPr>
          <w:color w:val="000000" w:themeColor="text1"/>
          <w:sz w:val="24"/>
          <w:szCs w:val="24"/>
        </w:rPr>
        <w:t>or may reapply for a reinstatement</w:t>
      </w:r>
      <w:r w:rsidRPr="000A7AA3">
        <w:rPr>
          <w:color w:val="000000" w:themeColor="text1"/>
          <w:sz w:val="24"/>
          <w:szCs w:val="24"/>
        </w:rPr>
        <w:t xml:space="preserve"> in accordance with Alaska Statutes, at which time the Commiss</w:t>
      </w:r>
      <w:r>
        <w:rPr>
          <w:color w:val="000000" w:themeColor="text1"/>
          <w:sz w:val="24"/>
          <w:szCs w:val="24"/>
        </w:rPr>
        <w:t>ion would review the case</w:t>
      </w:r>
      <w:r w:rsidRPr="000A7AA3">
        <w:rPr>
          <w:color w:val="000000" w:themeColor="text1"/>
          <w:sz w:val="24"/>
          <w:szCs w:val="24"/>
        </w:rPr>
        <w:t xml:space="preserve"> for another determination.</w:t>
      </w:r>
      <w:r>
        <w:rPr>
          <w:color w:val="000000" w:themeColor="text1"/>
          <w:sz w:val="24"/>
          <w:szCs w:val="24"/>
        </w:rPr>
        <w:t xml:space="preserve"> A revocation is</w:t>
      </w:r>
      <w:r w:rsidRPr="000A7AA3">
        <w:rPr>
          <w:color w:val="000000" w:themeColor="text1"/>
          <w:sz w:val="24"/>
          <w:szCs w:val="24"/>
        </w:rPr>
        <w:t xml:space="preserve"> sent to the NASDTEC Clearinghouse for national distribution.</w:t>
      </w:r>
    </w:p>
    <w:p w14:paraId="6CFD3BE0" w14:textId="77777777" w:rsidR="00953856" w:rsidRPr="000A7AA3" w:rsidRDefault="00953856" w:rsidP="00953856">
      <w:pPr>
        <w:widowControl w:val="0"/>
        <w:rPr>
          <w:u w:val="single"/>
        </w:rPr>
      </w:pPr>
    </w:p>
    <w:p w14:paraId="49EEF483" w14:textId="77777777" w:rsidR="00953856" w:rsidRPr="00FD4152" w:rsidRDefault="00953856" w:rsidP="00953856">
      <w:pPr>
        <w:pStyle w:val="Heading3"/>
      </w:pPr>
      <w:r w:rsidRPr="008D074D">
        <w:tab/>
      </w:r>
      <w:r w:rsidRPr="00FD4152">
        <w:t>AS 14.20.030.  Causes for Suspension or Revocation:</w:t>
      </w:r>
    </w:p>
    <w:p w14:paraId="6F273468" w14:textId="77777777" w:rsidR="00953856" w:rsidRPr="006B0FB1" w:rsidRDefault="00953856" w:rsidP="00953856">
      <w:pPr>
        <w:rPr>
          <w:sz w:val="24"/>
          <w:szCs w:val="24"/>
        </w:rPr>
      </w:pPr>
    </w:p>
    <w:p w14:paraId="4E126C6C" w14:textId="77777777" w:rsidR="00953856" w:rsidRPr="006B0FB1" w:rsidRDefault="00953856" w:rsidP="00953856">
      <w:pPr>
        <w:rPr>
          <w:sz w:val="24"/>
          <w:szCs w:val="24"/>
        </w:rPr>
      </w:pPr>
      <w:r w:rsidRPr="006B0FB1">
        <w:rPr>
          <w:sz w:val="24"/>
          <w:szCs w:val="24"/>
        </w:rPr>
        <w:t xml:space="preserve"> The Commissioner or the Professional Teaching Practices Commission may revoke or suspend a certificate for the following reasons:</w:t>
      </w:r>
    </w:p>
    <w:p w14:paraId="33D641C7" w14:textId="77777777" w:rsidR="00953856" w:rsidRPr="006B0FB1" w:rsidRDefault="00953856" w:rsidP="00953856">
      <w:pPr>
        <w:rPr>
          <w:sz w:val="24"/>
          <w:szCs w:val="24"/>
        </w:rPr>
      </w:pPr>
    </w:p>
    <w:p w14:paraId="3DA64144" w14:textId="77777777" w:rsidR="00953856" w:rsidRPr="006B0FB1" w:rsidRDefault="00953856" w:rsidP="00953856">
      <w:pPr>
        <w:pStyle w:val="ListParagraph"/>
        <w:numPr>
          <w:ilvl w:val="0"/>
          <w:numId w:val="1"/>
        </w:numPr>
        <w:rPr>
          <w:sz w:val="24"/>
          <w:szCs w:val="24"/>
        </w:rPr>
      </w:pPr>
      <w:r w:rsidRPr="006B0FB1">
        <w:rPr>
          <w:i/>
          <w:sz w:val="24"/>
          <w:szCs w:val="24"/>
        </w:rPr>
        <w:t>Incompetency</w:t>
      </w:r>
      <w:r w:rsidRPr="006B0FB1">
        <w:rPr>
          <w:sz w:val="24"/>
          <w:szCs w:val="24"/>
        </w:rPr>
        <w:t>, which is defined as the inability or the unintentional or intentional failure to perform the teacher’s customary teaching duties in a satisfactory manner;</w:t>
      </w:r>
    </w:p>
    <w:p w14:paraId="2E229C9B" w14:textId="77777777" w:rsidR="00953856" w:rsidRPr="006B0FB1" w:rsidRDefault="00953856" w:rsidP="00953856">
      <w:pPr>
        <w:rPr>
          <w:sz w:val="24"/>
          <w:szCs w:val="24"/>
        </w:rPr>
      </w:pPr>
    </w:p>
    <w:p w14:paraId="00DEA40E" w14:textId="77777777" w:rsidR="00953856" w:rsidRPr="006B0FB1" w:rsidRDefault="00953856" w:rsidP="00953856">
      <w:pPr>
        <w:pStyle w:val="ListParagraph"/>
        <w:numPr>
          <w:ilvl w:val="0"/>
          <w:numId w:val="1"/>
        </w:numPr>
        <w:rPr>
          <w:sz w:val="24"/>
          <w:szCs w:val="24"/>
        </w:rPr>
      </w:pPr>
      <w:r w:rsidRPr="006B0FB1">
        <w:rPr>
          <w:i/>
          <w:sz w:val="24"/>
          <w:szCs w:val="24"/>
        </w:rPr>
        <w:t>Immorality</w:t>
      </w:r>
      <w:r w:rsidRPr="006B0FB1">
        <w:rPr>
          <w:sz w:val="24"/>
          <w:szCs w:val="24"/>
        </w:rPr>
        <w:t>, which is defined as the commission of an act which, under the laws of the state constitutes a crime involving moral turpitude;</w:t>
      </w:r>
    </w:p>
    <w:p w14:paraId="784853F8" w14:textId="77777777" w:rsidR="00953856" w:rsidRPr="006B0FB1" w:rsidRDefault="00953856" w:rsidP="00953856">
      <w:pPr>
        <w:rPr>
          <w:sz w:val="24"/>
          <w:szCs w:val="24"/>
        </w:rPr>
      </w:pPr>
    </w:p>
    <w:p w14:paraId="09CA5BB7" w14:textId="77777777" w:rsidR="00953856" w:rsidRPr="006B0FB1" w:rsidRDefault="00953856" w:rsidP="00953856">
      <w:pPr>
        <w:pStyle w:val="ListParagraph"/>
        <w:numPr>
          <w:ilvl w:val="0"/>
          <w:numId w:val="1"/>
        </w:numPr>
        <w:rPr>
          <w:sz w:val="24"/>
          <w:szCs w:val="24"/>
        </w:rPr>
      </w:pPr>
      <w:r w:rsidRPr="006B0FB1">
        <w:rPr>
          <w:i/>
          <w:sz w:val="24"/>
          <w:szCs w:val="24"/>
        </w:rPr>
        <w:t xml:space="preserve">Substantial noncompliance </w:t>
      </w:r>
      <w:r w:rsidRPr="006B0FB1">
        <w:rPr>
          <w:sz w:val="24"/>
          <w:szCs w:val="24"/>
        </w:rPr>
        <w:t>with the laws of the state or the regulations of the department; or</w:t>
      </w:r>
    </w:p>
    <w:p w14:paraId="332D3BD8" w14:textId="77777777" w:rsidR="00953856" w:rsidRPr="006B0FB1" w:rsidRDefault="00953856" w:rsidP="00953856">
      <w:pPr>
        <w:rPr>
          <w:sz w:val="24"/>
          <w:szCs w:val="24"/>
        </w:rPr>
      </w:pPr>
    </w:p>
    <w:p w14:paraId="695DA86E" w14:textId="77777777" w:rsidR="00953856" w:rsidRPr="006B0FB1" w:rsidRDefault="00953856" w:rsidP="00953856">
      <w:pPr>
        <w:pStyle w:val="ListParagraph"/>
        <w:numPr>
          <w:ilvl w:val="0"/>
          <w:numId w:val="1"/>
        </w:numPr>
        <w:rPr>
          <w:sz w:val="24"/>
          <w:szCs w:val="24"/>
        </w:rPr>
      </w:pPr>
      <w:r w:rsidRPr="006B0FB1">
        <w:rPr>
          <w:sz w:val="24"/>
          <w:szCs w:val="24"/>
        </w:rPr>
        <w:t xml:space="preserve">upon the determination by the Professional Teaching Practices Commission that there has been a </w:t>
      </w:r>
      <w:r w:rsidRPr="006B0FB1">
        <w:rPr>
          <w:i/>
          <w:sz w:val="24"/>
          <w:szCs w:val="24"/>
        </w:rPr>
        <w:t>violation of ethical or professional standards or contractual obligations</w:t>
      </w:r>
      <w:r w:rsidRPr="006B0FB1">
        <w:rPr>
          <w:sz w:val="24"/>
          <w:szCs w:val="24"/>
        </w:rPr>
        <w:t>.</w:t>
      </w:r>
    </w:p>
    <w:p w14:paraId="4913716E" w14:textId="77777777" w:rsidR="00953856" w:rsidRDefault="00953856" w:rsidP="00953856">
      <w:pPr>
        <w:pStyle w:val="ListParagraph"/>
        <w:widowControl w:val="0"/>
        <w:ind w:left="1080"/>
        <w:rPr>
          <w:color w:val="000000" w:themeColor="text1"/>
        </w:rPr>
      </w:pPr>
    </w:p>
    <w:p w14:paraId="09F37144" w14:textId="77777777" w:rsidR="00953856" w:rsidRDefault="00953856" w:rsidP="000402C2">
      <w:pPr>
        <w:pStyle w:val="Heading2"/>
        <w:spacing w:after="0"/>
        <w:rPr>
          <w:rFonts w:eastAsia="Times New Roman"/>
        </w:rPr>
      </w:pPr>
      <w:r w:rsidRPr="004571FD">
        <w:rPr>
          <w:rFonts w:eastAsia="Times New Roman"/>
        </w:rPr>
        <w:t>COMPLAINTS</w:t>
      </w:r>
    </w:p>
    <w:p w14:paraId="5B4CEB2F" w14:textId="77777777" w:rsidR="00953856" w:rsidRPr="00A15012" w:rsidRDefault="00953856" w:rsidP="00953856"/>
    <w:p w14:paraId="30E74DBB" w14:textId="77777777" w:rsidR="00953856" w:rsidRDefault="00953856" w:rsidP="00953856">
      <w:pPr>
        <w:rPr>
          <w:i/>
          <w:sz w:val="24"/>
          <w:szCs w:val="24"/>
        </w:rPr>
      </w:pPr>
      <w:r w:rsidRPr="0034433E">
        <w:rPr>
          <w:sz w:val="24"/>
          <w:szCs w:val="24"/>
        </w:rPr>
        <w:t xml:space="preserve">Complaints may be submitted to the Commission by members of the education profession or by the public.  Notification by a state agency to the Professional Teaching Practices Commission that an educator has committed a crime may also result in action by the PTPC.  Pursuant to 20 AAC 10.210(b):  </w:t>
      </w:r>
      <w:r w:rsidRPr="0034433E">
        <w:rPr>
          <w:i/>
          <w:sz w:val="24"/>
          <w:szCs w:val="24"/>
        </w:rPr>
        <w:t xml:space="preserve">Unless the alleged act would be grounds for discipline under AS 14.20.030, the staff may not investigate school district personnel actions, including hiring, evaluation, transfer, reassignment, or dismissal of staff; or curriculum actions. </w:t>
      </w:r>
    </w:p>
    <w:p w14:paraId="349DC8BD" w14:textId="77777777" w:rsidR="00953856" w:rsidRPr="002268D5" w:rsidRDefault="00953856" w:rsidP="00953856">
      <w:pPr>
        <w:spacing w:after="160" w:line="259" w:lineRule="auto"/>
        <w:rPr>
          <w:color w:val="000000" w:themeColor="text1"/>
        </w:rPr>
      </w:pPr>
      <w:r>
        <w:rPr>
          <w:i/>
          <w:sz w:val="24"/>
          <w:szCs w:val="24"/>
        </w:rPr>
        <w:br w:type="page"/>
      </w:r>
    </w:p>
    <w:p w14:paraId="242AD147" w14:textId="77777777" w:rsidR="00953856" w:rsidRPr="0085099F" w:rsidRDefault="00953856" w:rsidP="000402C2">
      <w:pPr>
        <w:pStyle w:val="Heading2"/>
        <w:spacing w:after="0"/>
      </w:pPr>
      <w:r>
        <w:lastRenderedPageBreak/>
        <w:t>PUBLIC HEARINGS</w:t>
      </w:r>
    </w:p>
    <w:p w14:paraId="19AB69BC" w14:textId="77777777" w:rsidR="00953856" w:rsidRPr="0085099F" w:rsidRDefault="00953856" w:rsidP="00953856">
      <w:pPr>
        <w:widowControl w:val="0"/>
        <w:rPr>
          <w:b/>
          <w:i/>
          <w:color w:val="000000" w:themeColor="text1"/>
        </w:rPr>
      </w:pPr>
    </w:p>
    <w:p w14:paraId="60041C13" w14:textId="75CD5208" w:rsidR="00953856" w:rsidRPr="000A7AA3" w:rsidRDefault="00953856" w:rsidP="00953856">
      <w:pPr>
        <w:widowControl w:val="0"/>
        <w:rPr>
          <w:sz w:val="24"/>
          <w:szCs w:val="24"/>
        </w:rPr>
      </w:pPr>
      <w:r w:rsidRPr="000A7AA3">
        <w:rPr>
          <w:sz w:val="24"/>
          <w:szCs w:val="24"/>
        </w:rPr>
        <w:t>Complaints may be filed with the Commission by anyone.  If the alleged action is a violation of the Code of Ethics</w:t>
      </w:r>
      <w:r>
        <w:rPr>
          <w:sz w:val="24"/>
          <w:szCs w:val="24"/>
        </w:rPr>
        <w:t xml:space="preserve"> of the Education Profession,</w:t>
      </w:r>
      <w:r w:rsidRPr="000A7AA3">
        <w:rPr>
          <w:sz w:val="24"/>
          <w:szCs w:val="24"/>
        </w:rPr>
        <w:t xml:space="preserve"> the laws of the State of Alaska, or the Regulations of the Department of Education &amp; Early Development, Commission staff </w:t>
      </w:r>
      <w:r w:rsidR="00526323" w:rsidRPr="000A7AA3">
        <w:rPr>
          <w:sz w:val="24"/>
          <w:szCs w:val="24"/>
        </w:rPr>
        <w:t>investigates</w:t>
      </w:r>
      <w:r w:rsidRPr="000A7AA3">
        <w:rPr>
          <w:sz w:val="24"/>
          <w:szCs w:val="24"/>
        </w:rPr>
        <w:t>.</w:t>
      </w:r>
    </w:p>
    <w:p w14:paraId="18B5E962" w14:textId="77777777" w:rsidR="00953856" w:rsidRPr="000A7AA3" w:rsidRDefault="00953856" w:rsidP="00953856">
      <w:pPr>
        <w:widowControl w:val="0"/>
        <w:rPr>
          <w:sz w:val="24"/>
          <w:szCs w:val="24"/>
        </w:rPr>
      </w:pPr>
    </w:p>
    <w:p w14:paraId="15C71E55" w14:textId="49BA7801" w:rsidR="00953856" w:rsidRPr="00197C0E" w:rsidRDefault="00953856" w:rsidP="00953856">
      <w:pPr>
        <w:widowControl w:val="0"/>
        <w:rPr>
          <w:sz w:val="24"/>
          <w:szCs w:val="24"/>
        </w:rPr>
      </w:pPr>
      <w:r w:rsidRPr="000A7AA3">
        <w:rPr>
          <w:sz w:val="24"/>
          <w:szCs w:val="24"/>
        </w:rPr>
        <w:t xml:space="preserve">If there is sufficient evidence to indicate that a violation has occurred, an accusation is </w:t>
      </w:r>
      <w:r w:rsidR="00526323" w:rsidRPr="000A7AA3">
        <w:rPr>
          <w:sz w:val="24"/>
          <w:szCs w:val="24"/>
        </w:rPr>
        <w:t>written,</w:t>
      </w:r>
      <w:r w:rsidRPr="000A7AA3">
        <w:rPr>
          <w:sz w:val="24"/>
          <w:szCs w:val="24"/>
        </w:rPr>
        <w:t xml:space="preserve"> and a hearing is held before the Commission.  During the hearing</w:t>
      </w:r>
      <w:r>
        <w:rPr>
          <w:sz w:val="24"/>
          <w:szCs w:val="24"/>
        </w:rPr>
        <w:t>,</w:t>
      </w:r>
      <w:r w:rsidRPr="000A7AA3">
        <w:rPr>
          <w:sz w:val="24"/>
          <w:szCs w:val="24"/>
        </w:rPr>
        <w:t xml:space="preserve"> a</w:t>
      </w:r>
      <w:r>
        <w:rPr>
          <w:sz w:val="24"/>
          <w:szCs w:val="24"/>
        </w:rPr>
        <w:t>n</w:t>
      </w:r>
      <w:r w:rsidRPr="000A7AA3">
        <w:rPr>
          <w:sz w:val="24"/>
          <w:szCs w:val="24"/>
        </w:rPr>
        <w:t xml:space="preserve"> </w:t>
      </w:r>
      <w:r>
        <w:rPr>
          <w:sz w:val="24"/>
          <w:szCs w:val="24"/>
        </w:rPr>
        <w:t xml:space="preserve">administrative law judge from the Office of Administrative Hearings, presides. </w:t>
      </w:r>
      <w:r w:rsidRPr="000A7AA3">
        <w:rPr>
          <w:sz w:val="24"/>
          <w:szCs w:val="24"/>
        </w:rPr>
        <w:t>The hearing is held in accordance with the Alaska Administrative Procedure Act. All hearings are open to the public.</w:t>
      </w:r>
      <w:r w:rsidRPr="00197C0E">
        <w:rPr>
          <w:sz w:val="24"/>
          <w:szCs w:val="24"/>
        </w:rPr>
        <w:t xml:space="preserve"> </w:t>
      </w:r>
    </w:p>
    <w:p w14:paraId="12E37288" w14:textId="77777777" w:rsidR="00953856" w:rsidRDefault="00953856" w:rsidP="000402C2">
      <w:pPr>
        <w:pStyle w:val="Heading2"/>
        <w:spacing w:after="0"/>
      </w:pPr>
      <w:r w:rsidRPr="00E62836">
        <w:t>ADMINISTRATIVE REVIEWS</w:t>
      </w:r>
    </w:p>
    <w:p w14:paraId="3AAD821B" w14:textId="77777777" w:rsidR="00953856" w:rsidRPr="00A15012" w:rsidRDefault="00953856" w:rsidP="00953856"/>
    <w:p w14:paraId="2D651037" w14:textId="56BBACDF" w:rsidR="00953856" w:rsidRPr="00F11209" w:rsidRDefault="00953856" w:rsidP="00953856">
      <w:pPr>
        <w:widowControl w:val="0"/>
        <w:rPr>
          <w:sz w:val="24"/>
          <w:szCs w:val="24"/>
        </w:rPr>
      </w:pPr>
      <w:r w:rsidRPr="00F11209">
        <w:rPr>
          <w:sz w:val="24"/>
          <w:szCs w:val="24"/>
        </w:rPr>
        <w:t>Administrative Reviews are held to evaluate PTPC staff’s decisions to dismiss a c</w:t>
      </w:r>
      <w:r>
        <w:rPr>
          <w:sz w:val="24"/>
          <w:szCs w:val="24"/>
        </w:rPr>
        <w:t xml:space="preserve">ase.  There were </w:t>
      </w:r>
      <w:r w:rsidR="00526323">
        <w:rPr>
          <w:sz w:val="24"/>
          <w:szCs w:val="24"/>
        </w:rPr>
        <w:t>fourteen</w:t>
      </w:r>
      <w:r>
        <w:rPr>
          <w:sz w:val="24"/>
          <w:szCs w:val="24"/>
        </w:rPr>
        <w:t xml:space="preserve"> </w:t>
      </w:r>
      <w:r w:rsidRPr="00F11209">
        <w:rPr>
          <w:sz w:val="24"/>
          <w:szCs w:val="24"/>
        </w:rPr>
        <w:t xml:space="preserve">Administrative Reviews </w:t>
      </w:r>
      <w:r>
        <w:rPr>
          <w:sz w:val="24"/>
          <w:szCs w:val="24"/>
        </w:rPr>
        <w:t xml:space="preserve">held </w:t>
      </w:r>
      <w:r w:rsidRPr="00F11209">
        <w:rPr>
          <w:sz w:val="24"/>
          <w:szCs w:val="24"/>
        </w:rPr>
        <w:t xml:space="preserve">this year. </w:t>
      </w:r>
      <w:r w:rsidR="00526323">
        <w:rPr>
          <w:sz w:val="24"/>
          <w:szCs w:val="24"/>
        </w:rPr>
        <w:t>Thirteen of fourteen</w:t>
      </w:r>
      <w:r>
        <w:rPr>
          <w:sz w:val="24"/>
          <w:szCs w:val="24"/>
        </w:rPr>
        <w:t xml:space="preserve"> cases the Commission voted unanimously to uphold PTPC staff’s decision to dismiss the cases. </w:t>
      </w:r>
      <w:r w:rsidRPr="00F11209">
        <w:rPr>
          <w:sz w:val="24"/>
          <w:szCs w:val="24"/>
        </w:rPr>
        <w:t>An Administrative Review can only be requested by the Complainant.</w:t>
      </w:r>
    </w:p>
    <w:p w14:paraId="192BCF9F" w14:textId="77777777" w:rsidR="00953856" w:rsidRDefault="00953856" w:rsidP="00953856">
      <w:pPr>
        <w:pStyle w:val="Footer"/>
        <w:tabs>
          <w:tab w:val="clear" w:pos="4680"/>
          <w:tab w:val="clear" w:pos="9360"/>
        </w:tabs>
      </w:pPr>
    </w:p>
    <w:p w14:paraId="40C8BEBC" w14:textId="77777777" w:rsidR="00953856" w:rsidRDefault="00953856" w:rsidP="000402C2">
      <w:pPr>
        <w:pStyle w:val="Heading2"/>
        <w:spacing w:after="0"/>
        <w:rPr>
          <w:rFonts w:eastAsia="Times New Roman"/>
        </w:rPr>
      </w:pPr>
      <w:r w:rsidRPr="00F11209">
        <w:rPr>
          <w:rFonts w:eastAsia="Times New Roman"/>
        </w:rPr>
        <w:t>NATIONAL CLEARINGHOUSE</w:t>
      </w:r>
    </w:p>
    <w:p w14:paraId="704A0012" w14:textId="77777777" w:rsidR="00953856" w:rsidRPr="00A15012" w:rsidRDefault="00953856" w:rsidP="00953856"/>
    <w:p w14:paraId="61F1A135" w14:textId="488E7AC1" w:rsidR="00953856" w:rsidRDefault="00953856" w:rsidP="00953856">
      <w:pPr>
        <w:widowControl w:val="0"/>
        <w:rPr>
          <w:sz w:val="24"/>
          <w:szCs w:val="24"/>
        </w:rPr>
      </w:pPr>
      <w:r w:rsidRPr="004571FD">
        <w:rPr>
          <w:sz w:val="24"/>
          <w:szCs w:val="24"/>
        </w:rPr>
        <w:t xml:space="preserve">The National Association of State Directors of Teacher Education and Certification (NASDTEC) maintain a clearinghouse where disciplinary action higher than a warning against an educator in any state (also province in Canada, or U.S. territory) is recorded. This database is not accessible by the </w:t>
      </w:r>
      <w:r w:rsidR="00526323" w:rsidRPr="004571FD">
        <w:rPr>
          <w:sz w:val="24"/>
          <w:szCs w:val="24"/>
        </w:rPr>
        <w:t>public</w:t>
      </w:r>
      <w:r w:rsidRPr="004571FD">
        <w:rPr>
          <w:sz w:val="24"/>
          <w:szCs w:val="24"/>
        </w:rPr>
        <w:t>. This database has recently been made available to school districts for a nominal fee.</w:t>
      </w:r>
    </w:p>
    <w:p w14:paraId="0DC25309" w14:textId="77777777" w:rsidR="00953856" w:rsidRDefault="00953856" w:rsidP="00953856">
      <w:pPr>
        <w:pStyle w:val="Footer"/>
        <w:tabs>
          <w:tab w:val="clear" w:pos="4680"/>
          <w:tab w:val="clear" w:pos="9360"/>
        </w:tabs>
        <w:spacing w:line="360" w:lineRule="auto"/>
      </w:pPr>
    </w:p>
    <w:p w14:paraId="72F83F82" w14:textId="77777777" w:rsidR="00953856" w:rsidRDefault="00953856" w:rsidP="000402C2">
      <w:pPr>
        <w:pStyle w:val="Heading2"/>
        <w:spacing w:after="0"/>
        <w:rPr>
          <w:rStyle w:val="Heading3Char"/>
          <w:rFonts w:eastAsiaTheme="majorEastAsia"/>
        </w:rPr>
      </w:pPr>
      <w:r w:rsidRPr="00D61D10">
        <w:rPr>
          <w:rStyle w:val="Heading2Char"/>
        </w:rPr>
        <w:t>INQUIRIES</w:t>
      </w:r>
      <w:r w:rsidRPr="00E62836">
        <w:rPr>
          <w:rFonts w:ascii="Times New Roman" w:hAnsi="Times New Roman" w:cs="Times New Roman"/>
          <w:b/>
          <w:i/>
          <w:sz w:val="28"/>
          <w:szCs w:val="28"/>
        </w:rPr>
        <w:t xml:space="preserve"> </w:t>
      </w:r>
    </w:p>
    <w:p w14:paraId="38A943C1" w14:textId="77777777" w:rsidR="00953856" w:rsidRDefault="00953856" w:rsidP="000402C2">
      <w:pPr>
        <w:pStyle w:val="Heading3"/>
        <w:spacing w:before="0"/>
        <w:rPr>
          <w:rStyle w:val="Heading3Char"/>
        </w:rPr>
      </w:pPr>
      <w:r>
        <w:rPr>
          <w:rStyle w:val="Heading3Char"/>
        </w:rPr>
        <w:tab/>
      </w:r>
      <w:r w:rsidRPr="008D074D">
        <w:rPr>
          <w:rStyle w:val="Heading3Char"/>
        </w:rPr>
        <w:t>Applications for Certification</w:t>
      </w:r>
    </w:p>
    <w:p w14:paraId="509921BF" w14:textId="77777777" w:rsidR="00953856" w:rsidRPr="00D61D10" w:rsidRDefault="00953856" w:rsidP="00953856"/>
    <w:p w14:paraId="1DB0860A" w14:textId="61C3B597" w:rsidR="00953856" w:rsidRPr="00BF5F8C" w:rsidRDefault="00953856" w:rsidP="00953856">
      <w:pPr>
        <w:widowControl w:val="0"/>
        <w:rPr>
          <w:sz w:val="24"/>
          <w:szCs w:val="24"/>
        </w:rPr>
      </w:pPr>
      <w:r w:rsidRPr="00BF5F8C">
        <w:rPr>
          <w:sz w:val="24"/>
          <w:szCs w:val="24"/>
        </w:rPr>
        <w:t>PTPC staff</w:t>
      </w:r>
      <w:r>
        <w:rPr>
          <w:sz w:val="24"/>
          <w:szCs w:val="24"/>
        </w:rPr>
        <w:t xml:space="preserve"> reviewed one hundred fifty-</w:t>
      </w:r>
      <w:r w:rsidR="00107BFD">
        <w:rPr>
          <w:sz w:val="24"/>
          <w:szCs w:val="24"/>
        </w:rPr>
        <w:t>two</w:t>
      </w:r>
      <w:r>
        <w:rPr>
          <w:sz w:val="24"/>
          <w:szCs w:val="24"/>
        </w:rPr>
        <w:t xml:space="preserve"> (15</w:t>
      </w:r>
      <w:r w:rsidR="00107BFD">
        <w:rPr>
          <w:sz w:val="24"/>
          <w:szCs w:val="24"/>
        </w:rPr>
        <w:t>2</w:t>
      </w:r>
      <w:r w:rsidRPr="00BF5F8C">
        <w:rPr>
          <w:sz w:val="24"/>
          <w:szCs w:val="24"/>
        </w:rPr>
        <w:t xml:space="preserve">) applications for certification in which there were state or federal fingerprint checks indicating convictions, or in which one of the character questions (background information) </w:t>
      </w:r>
      <w:r>
        <w:rPr>
          <w:sz w:val="24"/>
          <w:szCs w:val="24"/>
        </w:rPr>
        <w:t xml:space="preserve">was checked “yes.” This was an increase of </w:t>
      </w:r>
      <w:r w:rsidR="00107BFD">
        <w:rPr>
          <w:sz w:val="24"/>
          <w:szCs w:val="24"/>
        </w:rPr>
        <w:t>one</w:t>
      </w:r>
      <w:r w:rsidRPr="00BF5F8C">
        <w:rPr>
          <w:sz w:val="24"/>
          <w:szCs w:val="24"/>
        </w:rPr>
        <w:t xml:space="preserve"> from last year </w:t>
      </w:r>
      <w:r w:rsidR="00526323" w:rsidRPr="00BF5F8C">
        <w:rPr>
          <w:sz w:val="24"/>
          <w:szCs w:val="24"/>
        </w:rPr>
        <w:t>and</w:t>
      </w:r>
      <w:r w:rsidRPr="00BF5F8C">
        <w:rPr>
          <w:sz w:val="24"/>
          <w:szCs w:val="24"/>
        </w:rPr>
        <w:t xml:space="preserve"> slightly below the av</w:t>
      </w:r>
      <w:r>
        <w:rPr>
          <w:sz w:val="24"/>
          <w:szCs w:val="24"/>
        </w:rPr>
        <w:t xml:space="preserve">erage of 155 over the last </w:t>
      </w:r>
      <w:r w:rsidR="00107BFD">
        <w:rPr>
          <w:sz w:val="24"/>
          <w:szCs w:val="24"/>
        </w:rPr>
        <w:t>nine</w:t>
      </w:r>
      <w:r w:rsidRPr="00BF5F8C">
        <w:rPr>
          <w:sz w:val="24"/>
          <w:szCs w:val="24"/>
        </w:rPr>
        <w:t xml:space="preserve"> years. This includes initial, renewal/reinstatement, and student te</w:t>
      </w:r>
      <w:r>
        <w:rPr>
          <w:sz w:val="24"/>
          <w:szCs w:val="24"/>
        </w:rPr>
        <w:t>aching applications. Eighty-</w:t>
      </w:r>
      <w:r w:rsidR="00107BFD">
        <w:rPr>
          <w:sz w:val="24"/>
          <w:szCs w:val="24"/>
        </w:rPr>
        <w:t>seven</w:t>
      </w:r>
      <w:r>
        <w:rPr>
          <w:sz w:val="24"/>
          <w:szCs w:val="24"/>
        </w:rPr>
        <w:t xml:space="preserve"> (8</w:t>
      </w:r>
      <w:r w:rsidR="00107BFD">
        <w:rPr>
          <w:sz w:val="24"/>
          <w:szCs w:val="24"/>
        </w:rPr>
        <w:t>7</w:t>
      </w:r>
      <w:r w:rsidRPr="00BF5F8C">
        <w:rPr>
          <w:sz w:val="24"/>
          <w:szCs w:val="24"/>
        </w:rPr>
        <w:t>) applicants divulged convictions (or other actions) on their applications and subsequently those applications were approved</w:t>
      </w:r>
      <w:r w:rsidR="00D26C64">
        <w:rPr>
          <w:sz w:val="24"/>
          <w:szCs w:val="24"/>
        </w:rPr>
        <w:t xml:space="preserve"> or</w:t>
      </w:r>
      <w:r w:rsidRPr="00BF5F8C">
        <w:rPr>
          <w:sz w:val="24"/>
          <w:szCs w:val="24"/>
        </w:rPr>
        <w:t xml:space="preserve"> required a brief follow-up with the applicant before being approved.</w:t>
      </w:r>
    </w:p>
    <w:p w14:paraId="1812E575" w14:textId="77777777" w:rsidR="00953856" w:rsidRPr="00BF5F8C" w:rsidRDefault="00953856" w:rsidP="00953856">
      <w:pPr>
        <w:widowControl w:val="0"/>
        <w:rPr>
          <w:sz w:val="24"/>
          <w:szCs w:val="24"/>
        </w:rPr>
      </w:pPr>
    </w:p>
    <w:p w14:paraId="27F97958" w14:textId="0CF8734B" w:rsidR="00953856" w:rsidRDefault="00107BFD" w:rsidP="00953856">
      <w:pPr>
        <w:widowControl w:val="0"/>
        <w:rPr>
          <w:sz w:val="24"/>
          <w:szCs w:val="24"/>
        </w:rPr>
      </w:pPr>
      <w:r>
        <w:rPr>
          <w:sz w:val="24"/>
          <w:szCs w:val="24"/>
        </w:rPr>
        <w:t>Sixty-five</w:t>
      </w:r>
      <w:r w:rsidR="00953856">
        <w:rPr>
          <w:sz w:val="24"/>
          <w:szCs w:val="24"/>
        </w:rPr>
        <w:t xml:space="preserve"> (</w:t>
      </w:r>
      <w:r>
        <w:rPr>
          <w:sz w:val="24"/>
          <w:szCs w:val="24"/>
        </w:rPr>
        <w:t>65</w:t>
      </w:r>
      <w:r w:rsidR="00953856" w:rsidRPr="00BF5F8C">
        <w:rPr>
          <w:sz w:val="24"/>
          <w:szCs w:val="24"/>
        </w:rPr>
        <w:t>) applicants for certification fa</w:t>
      </w:r>
      <w:r w:rsidR="00953856">
        <w:rPr>
          <w:sz w:val="24"/>
          <w:szCs w:val="24"/>
        </w:rPr>
        <w:t>iled to divulge past charges</w:t>
      </w:r>
      <w:r w:rsidR="00953856" w:rsidRPr="00BF5F8C">
        <w:rPr>
          <w:sz w:val="24"/>
          <w:szCs w:val="24"/>
        </w:rPr>
        <w:t xml:space="preserve"> for criminal violations or action taken against their certif</w:t>
      </w:r>
      <w:r w:rsidR="00953856">
        <w:rPr>
          <w:sz w:val="24"/>
          <w:szCs w:val="24"/>
        </w:rPr>
        <w:t xml:space="preserve">icate in another state. </w:t>
      </w:r>
      <w:r>
        <w:rPr>
          <w:sz w:val="24"/>
          <w:szCs w:val="24"/>
        </w:rPr>
        <w:t>Fifty-two were not convicted. Of these, thirteen (13) were convicted and did not divulge.</w:t>
      </w:r>
      <w:r w:rsidRPr="00BF5F8C">
        <w:rPr>
          <w:sz w:val="24"/>
          <w:szCs w:val="24"/>
        </w:rPr>
        <w:t xml:space="preserve"> </w:t>
      </w:r>
      <w:r w:rsidR="00953856" w:rsidRPr="00BF5F8C">
        <w:rPr>
          <w:sz w:val="24"/>
          <w:szCs w:val="24"/>
        </w:rPr>
        <w:t xml:space="preserve">The applicants were informed that </w:t>
      </w:r>
      <w:r w:rsidR="00953856" w:rsidRPr="00BF5F8C">
        <w:rPr>
          <w:sz w:val="24"/>
          <w:szCs w:val="24"/>
          <w:u w:val="single"/>
        </w:rPr>
        <w:t>all</w:t>
      </w:r>
      <w:r w:rsidR="00953856" w:rsidRPr="00BF5F8C">
        <w:rPr>
          <w:sz w:val="24"/>
          <w:szCs w:val="24"/>
        </w:rPr>
        <w:t xml:space="preserve"> convictions must be </w:t>
      </w:r>
      <w:r w:rsidR="00526323" w:rsidRPr="00BF5F8C">
        <w:rPr>
          <w:sz w:val="24"/>
          <w:szCs w:val="24"/>
        </w:rPr>
        <w:t>divulged,</w:t>
      </w:r>
      <w:r w:rsidR="00953856" w:rsidRPr="00BF5F8C">
        <w:rPr>
          <w:sz w:val="24"/>
          <w:szCs w:val="24"/>
        </w:rPr>
        <w:t xml:space="preserve"> and an explanation must be provided on any application, now or in the future, that requests that informatio</w:t>
      </w:r>
      <w:r w:rsidR="00B51B82">
        <w:rPr>
          <w:sz w:val="24"/>
          <w:szCs w:val="24"/>
        </w:rPr>
        <w:t>n. This applies</w:t>
      </w:r>
      <w:r w:rsidR="00953856" w:rsidRPr="00BF5F8C">
        <w:rPr>
          <w:sz w:val="24"/>
          <w:szCs w:val="24"/>
        </w:rPr>
        <w:t xml:space="preserve"> even if convictions have been set-aside, resulted in a suspended imposition of sentence, or were from many years ago. Failure to do so in the future could be considered willful misrepresentation and be a caus</w:t>
      </w:r>
      <w:r w:rsidR="00953856">
        <w:rPr>
          <w:sz w:val="24"/>
          <w:szCs w:val="24"/>
        </w:rPr>
        <w:t xml:space="preserve">e for revocation. All </w:t>
      </w:r>
      <w:r>
        <w:rPr>
          <w:sz w:val="24"/>
          <w:szCs w:val="24"/>
        </w:rPr>
        <w:t>sixty-five</w:t>
      </w:r>
      <w:r w:rsidR="00953856" w:rsidRPr="00BF5F8C">
        <w:rPr>
          <w:sz w:val="24"/>
          <w:szCs w:val="24"/>
        </w:rPr>
        <w:t xml:space="preserve"> applicants were eventually approved.</w:t>
      </w:r>
    </w:p>
    <w:p w14:paraId="28B0F585" w14:textId="77777777" w:rsidR="00953856" w:rsidRPr="00F11209" w:rsidRDefault="00953856" w:rsidP="00953856">
      <w:pPr>
        <w:widowControl w:val="0"/>
        <w:rPr>
          <w:sz w:val="24"/>
          <w:szCs w:val="24"/>
        </w:rPr>
      </w:pPr>
    </w:p>
    <w:p w14:paraId="27C7ACE9" w14:textId="77777777" w:rsidR="00953856" w:rsidRDefault="00953856" w:rsidP="00953856">
      <w:pPr>
        <w:pStyle w:val="Heading3"/>
      </w:pPr>
      <w:r w:rsidRPr="008D074D">
        <w:tab/>
        <w:t>Inquiries from other states and Canada</w:t>
      </w:r>
    </w:p>
    <w:p w14:paraId="324125F6" w14:textId="77777777" w:rsidR="00953856" w:rsidRPr="00D61D10" w:rsidRDefault="00953856" w:rsidP="00953856"/>
    <w:p w14:paraId="085A1481" w14:textId="77777777" w:rsidR="00953856" w:rsidRDefault="00953856" w:rsidP="00953856">
      <w:pPr>
        <w:widowControl w:val="0"/>
        <w:rPr>
          <w:sz w:val="24"/>
          <w:szCs w:val="24"/>
        </w:rPr>
      </w:pPr>
      <w:r>
        <w:rPr>
          <w:sz w:val="24"/>
          <w:szCs w:val="24"/>
        </w:rPr>
        <w:t>PTPC staff responded to four (4</w:t>
      </w:r>
      <w:r w:rsidRPr="00F11209">
        <w:rPr>
          <w:sz w:val="24"/>
          <w:szCs w:val="24"/>
        </w:rPr>
        <w:t>) requests from other states for information regarding candidates for certification who reported that they have held, or do hold, an Alaska education certificate or who were listed on the NASDTEC Clearinghouse as having been sanctioned in Alaska.</w:t>
      </w:r>
    </w:p>
    <w:p w14:paraId="2BA20750" w14:textId="1C20E5CA" w:rsidR="00953856" w:rsidRPr="00F11209" w:rsidRDefault="00953856" w:rsidP="000402C2">
      <w:pPr>
        <w:pStyle w:val="Heading2"/>
        <w:rPr>
          <w:rFonts w:eastAsia="Times New Roman"/>
        </w:rPr>
      </w:pPr>
      <w:r>
        <w:rPr>
          <w:rFonts w:eastAsia="Times New Roman"/>
        </w:rPr>
        <w:lastRenderedPageBreak/>
        <w:t>FY 20</w:t>
      </w:r>
      <w:r w:rsidR="00D26C64">
        <w:rPr>
          <w:rFonts w:eastAsia="Times New Roman"/>
        </w:rPr>
        <w:t>20</w:t>
      </w:r>
      <w:r w:rsidRPr="00F11209">
        <w:rPr>
          <w:rFonts w:eastAsia="Times New Roman"/>
        </w:rPr>
        <w:t xml:space="preserve"> IN REVIEW</w:t>
      </w:r>
    </w:p>
    <w:p w14:paraId="01FF49EE" w14:textId="73803A27" w:rsidR="00953856" w:rsidRDefault="00953856" w:rsidP="00953856">
      <w:pPr>
        <w:jc w:val="center"/>
        <w:rPr>
          <w:b/>
          <w:bCs/>
          <w:i/>
          <w:iCs/>
          <w:sz w:val="24"/>
          <w:szCs w:val="24"/>
        </w:rPr>
      </w:pPr>
      <w:r w:rsidRPr="00F11209">
        <w:rPr>
          <w:b/>
          <w:bCs/>
          <w:i/>
          <w:iCs/>
          <w:sz w:val="28"/>
          <w:szCs w:val="28"/>
        </w:rPr>
        <w:t xml:space="preserve"> </w:t>
      </w:r>
      <w:r>
        <w:rPr>
          <w:b/>
          <w:bCs/>
          <w:i/>
          <w:iCs/>
          <w:sz w:val="24"/>
          <w:szCs w:val="24"/>
        </w:rPr>
        <w:t>(July 1, 201</w:t>
      </w:r>
      <w:r w:rsidR="00D26C64">
        <w:rPr>
          <w:b/>
          <w:bCs/>
          <w:i/>
          <w:iCs/>
          <w:sz w:val="24"/>
          <w:szCs w:val="24"/>
        </w:rPr>
        <w:t>9</w:t>
      </w:r>
      <w:r>
        <w:rPr>
          <w:b/>
          <w:bCs/>
          <w:i/>
          <w:iCs/>
          <w:sz w:val="24"/>
          <w:szCs w:val="24"/>
        </w:rPr>
        <w:t xml:space="preserve"> - June 30, 20</w:t>
      </w:r>
      <w:r w:rsidR="00D26C64">
        <w:rPr>
          <w:b/>
          <w:bCs/>
          <w:i/>
          <w:iCs/>
          <w:sz w:val="24"/>
          <w:szCs w:val="24"/>
        </w:rPr>
        <w:t>20</w:t>
      </w:r>
      <w:r w:rsidRPr="00005C60">
        <w:rPr>
          <w:b/>
          <w:bCs/>
          <w:i/>
          <w:iCs/>
          <w:sz w:val="24"/>
          <w:szCs w:val="24"/>
        </w:rPr>
        <w:t>)</w:t>
      </w:r>
    </w:p>
    <w:p w14:paraId="39C3D5FA" w14:textId="77777777" w:rsidR="00953856" w:rsidRPr="00005C60" w:rsidRDefault="00953856" w:rsidP="00953856">
      <w:pPr>
        <w:jc w:val="center"/>
        <w:rPr>
          <w:b/>
          <w:bCs/>
          <w:i/>
          <w:iCs/>
          <w:sz w:val="24"/>
          <w:szCs w:val="24"/>
        </w:rPr>
      </w:pPr>
    </w:p>
    <w:p w14:paraId="28F4993D" w14:textId="5DC63397" w:rsidR="00953856" w:rsidRDefault="00953856" w:rsidP="00953856">
      <w:pPr>
        <w:rPr>
          <w:sz w:val="24"/>
          <w:szCs w:val="24"/>
        </w:rPr>
      </w:pPr>
      <w:r w:rsidRPr="008E1499">
        <w:rPr>
          <w:sz w:val="24"/>
          <w:szCs w:val="24"/>
        </w:rPr>
        <w:t>The Commission met in general session three times.</w:t>
      </w:r>
      <w:r>
        <w:rPr>
          <w:sz w:val="24"/>
          <w:szCs w:val="24"/>
        </w:rPr>
        <w:t xml:space="preserve"> </w:t>
      </w:r>
      <w:r w:rsidR="00D26C64">
        <w:rPr>
          <w:sz w:val="24"/>
          <w:szCs w:val="24"/>
        </w:rPr>
        <w:t>Seventeen</w:t>
      </w:r>
      <w:r>
        <w:rPr>
          <w:sz w:val="24"/>
          <w:szCs w:val="24"/>
        </w:rPr>
        <w:t xml:space="preserve"> (1</w:t>
      </w:r>
      <w:r w:rsidR="00D26C64">
        <w:rPr>
          <w:sz w:val="24"/>
          <w:szCs w:val="24"/>
        </w:rPr>
        <w:t>7</w:t>
      </w:r>
      <w:r>
        <w:rPr>
          <w:sz w:val="24"/>
          <w:szCs w:val="24"/>
        </w:rPr>
        <w:t>) educators were sanctioned in FY 20</w:t>
      </w:r>
      <w:r w:rsidR="00D26C64">
        <w:rPr>
          <w:sz w:val="24"/>
          <w:szCs w:val="24"/>
        </w:rPr>
        <w:t>20</w:t>
      </w:r>
      <w:r>
        <w:rPr>
          <w:sz w:val="24"/>
          <w:szCs w:val="24"/>
        </w:rPr>
        <w:t xml:space="preserve">. This is </w:t>
      </w:r>
      <w:r w:rsidR="00D26C64">
        <w:rPr>
          <w:sz w:val="24"/>
          <w:szCs w:val="24"/>
        </w:rPr>
        <w:t>above</w:t>
      </w:r>
      <w:r>
        <w:rPr>
          <w:sz w:val="24"/>
          <w:szCs w:val="24"/>
        </w:rPr>
        <w:t xml:space="preserve"> the yearly average of 13.3 educators sanctioned over the last </w:t>
      </w:r>
      <w:r w:rsidR="00D26C64">
        <w:rPr>
          <w:sz w:val="24"/>
          <w:szCs w:val="24"/>
        </w:rPr>
        <w:t xml:space="preserve">fourteen </w:t>
      </w:r>
      <w:r>
        <w:rPr>
          <w:sz w:val="24"/>
          <w:szCs w:val="24"/>
        </w:rPr>
        <w:t>years.</w:t>
      </w:r>
    </w:p>
    <w:p w14:paraId="4AA7733B" w14:textId="77777777" w:rsidR="00953856" w:rsidRPr="008D074D" w:rsidRDefault="00953856" w:rsidP="00953856">
      <w:pPr>
        <w:rPr>
          <w:color w:val="auto"/>
          <w:sz w:val="24"/>
          <w:szCs w:val="24"/>
        </w:rPr>
      </w:pPr>
    </w:p>
    <w:p w14:paraId="14FC6F82" w14:textId="77777777" w:rsidR="00953856" w:rsidRPr="008D074D" w:rsidRDefault="00953856" w:rsidP="00953856">
      <w:pPr>
        <w:pStyle w:val="Heading3"/>
      </w:pPr>
      <w:r>
        <w:tab/>
      </w:r>
      <w:r w:rsidRPr="008D074D">
        <w:t>DISCIPLINARY ACTIONS:</w:t>
      </w:r>
    </w:p>
    <w:p w14:paraId="334E963C" w14:textId="77777777" w:rsidR="00953856" w:rsidRPr="00317443" w:rsidRDefault="00953856" w:rsidP="00953856"/>
    <w:p w14:paraId="57080C92" w14:textId="04553D3C" w:rsidR="00F86650" w:rsidRPr="00F86650" w:rsidRDefault="00F86650" w:rsidP="00F86650">
      <w:pPr>
        <w:rPr>
          <w:sz w:val="24"/>
          <w:szCs w:val="24"/>
        </w:rPr>
      </w:pPr>
      <w:r w:rsidRPr="00F86650">
        <w:rPr>
          <w:sz w:val="24"/>
          <w:szCs w:val="24"/>
        </w:rPr>
        <w:t xml:space="preserve">At the </w:t>
      </w:r>
      <w:r w:rsidRPr="00F86650">
        <w:rPr>
          <w:b/>
          <w:sz w:val="24"/>
          <w:szCs w:val="24"/>
        </w:rPr>
        <w:t>October 10, 11, 2019</w:t>
      </w:r>
      <w:r w:rsidRPr="00F86650">
        <w:rPr>
          <w:sz w:val="24"/>
          <w:szCs w:val="24"/>
        </w:rPr>
        <w:t xml:space="preserve"> meeting the following action was taken by the Commission:</w:t>
      </w:r>
    </w:p>
    <w:p w14:paraId="6AD714ED" w14:textId="77777777" w:rsidR="00F86650" w:rsidRPr="00F86650" w:rsidRDefault="00F86650" w:rsidP="00F86650">
      <w:pPr>
        <w:rPr>
          <w:sz w:val="24"/>
          <w:szCs w:val="24"/>
        </w:rPr>
      </w:pPr>
    </w:p>
    <w:p w14:paraId="584ACAC5" w14:textId="77777777" w:rsidR="00F86650" w:rsidRPr="00F86650" w:rsidRDefault="00F86650" w:rsidP="00F86650">
      <w:pPr>
        <w:rPr>
          <w:sz w:val="24"/>
          <w:szCs w:val="24"/>
        </w:rPr>
      </w:pPr>
      <w:r w:rsidRPr="00F86650">
        <w:rPr>
          <w:sz w:val="24"/>
          <w:szCs w:val="24"/>
          <w:u w:val="single"/>
        </w:rPr>
        <w:t>Case 17-37</w:t>
      </w:r>
      <w:r w:rsidRPr="00F86650">
        <w:rPr>
          <w:sz w:val="24"/>
          <w:szCs w:val="24"/>
        </w:rPr>
        <w:t>:  Commission ordered a</w:t>
      </w:r>
      <w:r w:rsidRPr="00F86650">
        <w:rPr>
          <w:b/>
          <w:sz w:val="24"/>
          <w:szCs w:val="24"/>
        </w:rPr>
        <w:t xml:space="preserve"> warning</w:t>
      </w:r>
      <w:r w:rsidRPr="00F86650">
        <w:rPr>
          <w:sz w:val="24"/>
          <w:szCs w:val="24"/>
        </w:rPr>
        <w:t xml:space="preserve"> with conditions to an educator who holds an Alaska Professional Teaching Certificate.</w:t>
      </w:r>
    </w:p>
    <w:p w14:paraId="4851DF60" w14:textId="77777777" w:rsidR="00F86650" w:rsidRPr="00F86650" w:rsidRDefault="00F86650" w:rsidP="00F86650">
      <w:pPr>
        <w:rPr>
          <w:sz w:val="24"/>
          <w:szCs w:val="24"/>
        </w:rPr>
      </w:pPr>
      <w:r w:rsidRPr="00F86650">
        <w:rPr>
          <w:sz w:val="24"/>
          <w:szCs w:val="24"/>
          <w:u w:val="single"/>
        </w:rPr>
        <w:t>Case 19-05</w:t>
      </w:r>
      <w:r w:rsidRPr="00F86650">
        <w:rPr>
          <w:sz w:val="24"/>
          <w:szCs w:val="24"/>
        </w:rPr>
        <w:t xml:space="preserve">: Commission ordered a </w:t>
      </w:r>
      <w:r w:rsidRPr="00F86650">
        <w:rPr>
          <w:b/>
          <w:sz w:val="24"/>
          <w:szCs w:val="24"/>
        </w:rPr>
        <w:t xml:space="preserve">warning </w:t>
      </w:r>
      <w:r w:rsidRPr="00F86650">
        <w:rPr>
          <w:sz w:val="24"/>
          <w:szCs w:val="24"/>
        </w:rPr>
        <w:t>to an educator</w:t>
      </w:r>
      <w:r w:rsidRPr="00F86650">
        <w:rPr>
          <w:b/>
          <w:sz w:val="24"/>
          <w:szCs w:val="24"/>
        </w:rPr>
        <w:t xml:space="preserve"> </w:t>
      </w:r>
      <w:r w:rsidRPr="00F86650">
        <w:rPr>
          <w:sz w:val="24"/>
          <w:szCs w:val="24"/>
        </w:rPr>
        <w:t>who holds</w:t>
      </w:r>
      <w:r w:rsidRPr="00F86650">
        <w:rPr>
          <w:b/>
          <w:sz w:val="24"/>
          <w:szCs w:val="24"/>
        </w:rPr>
        <w:t xml:space="preserve"> </w:t>
      </w:r>
      <w:r w:rsidRPr="00F86650">
        <w:rPr>
          <w:sz w:val="24"/>
          <w:szCs w:val="24"/>
        </w:rPr>
        <w:t>the Alaska Initial Teaching Certificate.</w:t>
      </w:r>
    </w:p>
    <w:p w14:paraId="07F350BA" w14:textId="77777777" w:rsidR="00F86650" w:rsidRPr="00F86650" w:rsidRDefault="00F86650" w:rsidP="00F86650">
      <w:pPr>
        <w:rPr>
          <w:sz w:val="24"/>
          <w:szCs w:val="24"/>
          <w:u w:val="single"/>
        </w:rPr>
      </w:pPr>
      <w:r w:rsidRPr="00F86650">
        <w:rPr>
          <w:sz w:val="24"/>
          <w:szCs w:val="24"/>
          <w:u w:val="single"/>
        </w:rPr>
        <w:t>Case 19-34</w:t>
      </w:r>
      <w:r w:rsidRPr="00F86650">
        <w:rPr>
          <w:sz w:val="24"/>
          <w:szCs w:val="24"/>
        </w:rPr>
        <w:t xml:space="preserve">:  Commission ordered a </w:t>
      </w:r>
      <w:r w:rsidRPr="00F86650">
        <w:rPr>
          <w:b/>
          <w:sz w:val="24"/>
          <w:szCs w:val="24"/>
        </w:rPr>
        <w:t>warning</w:t>
      </w:r>
      <w:r w:rsidRPr="00F86650">
        <w:rPr>
          <w:sz w:val="24"/>
          <w:szCs w:val="24"/>
        </w:rPr>
        <w:t xml:space="preserve"> to an educator who holds an Alaska Professional Teaching Certificate.</w:t>
      </w:r>
    </w:p>
    <w:p w14:paraId="1C6CA3CC" w14:textId="77777777" w:rsidR="00F86650" w:rsidRPr="00F86650" w:rsidRDefault="00F86650" w:rsidP="00F86650">
      <w:pPr>
        <w:rPr>
          <w:sz w:val="24"/>
          <w:szCs w:val="24"/>
        </w:rPr>
      </w:pPr>
      <w:r w:rsidRPr="00F86650">
        <w:rPr>
          <w:sz w:val="24"/>
          <w:szCs w:val="24"/>
          <w:u w:val="single"/>
        </w:rPr>
        <w:t>Case 20-05 &amp; 20-06</w:t>
      </w:r>
      <w:r w:rsidRPr="00F86650">
        <w:rPr>
          <w:sz w:val="24"/>
          <w:szCs w:val="24"/>
        </w:rPr>
        <w:t>:  Commission ordered the acceptance of the</w:t>
      </w:r>
      <w:r w:rsidRPr="00F86650">
        <w:rPr>
          <w:b/>
          <w:sz w:val="24"/>
          <w:szCs w:val="24"/>
        </w:rPr>
        <w:t xml:space="preserve"> voluntary surrender</w:t>
      </w:r>
      <w:r w:rsidRPr="00F86650">
        <w:rPr>
          <w:sz w:val="24"/>
          <w:szCs w:val="24"/>
        </w:rPr>
        <w:t xml:space="preserve"> of the Alaska Initial Teaching Certificate of </w:t>
      </w:r>
      <w:r w:rsidRPr="00F86650">
        <w:rPr>
          <w:b/>
          <w:sz w:val="24"/>
          <w:szCs w:val="24"/>
        </w:rPr>
        <w:t>Shawn D. Hansen</w:t>
      </w:r>
      <w:r w:rsidRPr="00F86650">
        <w:rPr>
          <w:sz w:val="24"/>
          <w:szCs w:val="24"/>
        </w:rPr>
        <w:t>.</w:t>
      </w:r>
    </w:p>
    <w:p w14:paraId="0ED493BE" w14:textId="274870EE" w:rsidR="00F86650" w:rsidRPr="00F86650" w:rsidRDefault="00F86650" w:rsidP="00F86650">
      <w:pPr>
        <w:rPr>
          <w:sz w:val="24"/>
          <w:szCs w:val="24"/>
        </w:rPr>
      </w:pPr>
      <w:r w:rsidRPr="00F86650">
        <w:rPr>
          <w:sz w:val="24"/>
          <w:szCs w:val="24"/>
          <w:u w:val="single"/>
        </w:rPr>
        <w:t>Case 19-08</w:t>
      </w:r>
      <w:r w:rsidRPr="00F86650">
        <w:rPr>
          <w:sz w:val="24"/>
          <w:szCs w:val="24"/>
        </w:rPr>
        <w:t xml:space="preserve">: Commission ordered the </w:t>
      </w:r>
      <w:r w:rsidRPr="00F86650">
        <w:rPr>
          <w:b/>
          <w:sz w:val="24"/>
          <w:szCs w:val="24"/>
        </w:rPr>
        <w:t>one-year suspension</w:t>
      </w:r>
      <w:r w:rsidRPr="00F86650">
        <w:rPr>
          <w:sz w:val="24"/>
          <w:szCs w:val="24"/>
        </w:rPr>
        <w:t xml:space="preserve"> of the Alaska Initial Teaching Certificate of </w:t>
      </w:r>
      <w:r w:rsidRPr="00F86650">
        <w:rPr>
          <w:b/>
          <w:sz w:val="24"/>
          <w:szCs w:val="24"/>
        </w:rPr>
        <w:t>Peter J. Reba</w:t>
      </w:r>
      <w:r w:rsidRPr="00F86650">
        <w:rPr>
          <w:sz w:val="24"/>
          <w:szCs w:val="24"/>
        </w:rPr>
        <w:t>, effective October 11, 2019.</w:t>
      </w:r>
    </w:p>
    <w:p w14:paraId="0C349035" w14:textId="29190D28" w:rsidR="00F86650" w:rsidRDefault="00F86650" w:rsidP="00F86650">
      <w:pPr>
        <w:rPr>
          <w:b/>
          <w:sz w:val="24"/>
          <w:szCs w:val="24"/>
        </w:rPr>
      </w:pPr>
      <w:r w:rsidRPr="00F86650">
        <w:rPr>
          <w:sz w:val="24"/>
          <w:szCs w:val="24"/>
          <w:u w:val="single"/>
        </w:rPr>
        <w:t>Case 19-09</w:t>
      </w:r>
      <w:r w:rsidRPr="00F86650">
        <w:rPr>
          <w:sz w:val="24"/>
          <w:szCs w:val="24"/>
        </w:rPr>
        <w:t>: Commission ordered the</w:t>
      </w:r>
      <w:r w:rsidRPr="00F86650">
        <w:rPr>
          <w:b/>
          <w:sz w:val="24"/>
          <w:szCs w:val="24"/>
        </w:rPr>
        <w:t xml:space="preserve"> revocation</w:t>
      </w:r>
      <w:r w:rsidRPr="00F86650">
        <w:rPr>
          <w:sz w:val="24"/>
          <w:szCs w:val="24"/>
        </w:rPr>
        <w:t xml:space="preserve"> of the Alaska Administrative Certificate of </w:t>
      </w:r>
      <w:r w:rsidRPr="00F86650">
        <w:rPr>
          <w:b/>
          <w:sz w:val="24"/>
          <w:szCs w:val="24"/>
        </w:rPr>
        <w:t>Grant L. Kashatok.</w:t>
      </w:r>
    </w:p>
    <w:p w14:paraId="411A6FBA" w14:textId="77777777" w:rsidR="00F86650" w:rsidRPr="00F86650" w:rsidRDefault="00F86650" w:rsidP="00F86650">
      <w:pPr>
        <w:rPr>
          <w:b/>
          <w:sz w:val="24"/>
          <w:szCs w:val="24"/>
        </w:rPr>
      </w:pPr>
    </w:p>
    <w:p w14:paraId="2CF9296C" w14:textId="12A1EDFF" w:rsidR="00F86650" w:rsidRPr="00F86650" w:rsidRDefault="00F86650" w:rsidP="00F86650">
      <w:pPr>
        <w:rPr>
          <w:sz w:val="24"/>
          <w:szCs w:val="24"/>
        </w:rPr>
      </w:pPr>
      <w:r w:rsidRPr="00F86650">
        <w:rPr>
          <w:sz w:val="24"/>
          <w:szCs w:val="24"/>
        </w:rPr>
        <w:t xml:space="preserve">At the </w:t>
      </w:r>
      <w:r w:rsidRPr="00F86650">
        <w:rPr>
          <w:b/>
          <w:sz w:val="24"/>
          <w:szCs w:val="24"/>
        </w:rPr>
        <w:t xml:space="preserve">January 30, 31 2020 </w:t>
      </w:r>
      <w:r w:rsidRPr="00F86650">
        <w:rPr>
          <w:sz w:val="24"/>
          <w:szCs w:val="24"/>
        </w:rPr>
        <w:t>meeting the following action was taken by the Commission:</w:t>
      </w:r>
    </w:p>
    <w:p w14:paraId="6DB6E3F5" w14:textId="77777777" w:rsidR="00F86650" w:rsidRPr="00F86650" w:rsidRDefault="00F86650" w:rsidP="00F86650">
      <w:pPr>
        <w:rPr>
          <w:sz w:val="24"/>
          <w:szCs w:val="24"/>
        </w:rPr>
      </w:pPr>
    </w:p>
    <w:p w14:paraId="1C541209" w14:textId="77777777" w:rsidR="00F86650" w:rsidRPr="00F86650" w:rsidRDefault="00F86650" w:rsidP="00F86650">
      <w:pPr>
        <w:rPr>
          <w:sz w:val="24"/>
          <w:szCs w:val="24"/>
        </w:rPr>
      </w:pPr>
      <w:r w:rsidRPr="00F86650">
        <w:rPr>
          <w:sz w:val="24"/>
          <w:szCs w:val="24"/>
          <w:u w:val="single"/>
        </w:rPr>
        <w:t>Cases 20-02 &amp; 20-09</w:t>
      </w:r>
      <w:r w:rsidRPr="00F86650">
        <w:rPr>
          <w:sz w:val="24"/>
          <w:szCs w:val="24"/>
        </w:rPr>
        <w:t>:  Commission ordered the acceptance of the</w:t>
      </w:r>
      <w:r w:rsidRPr="00F86650">
        <w:rPr>
          <w:b/>
          <w:sz w:val="24"/>
          <w:szCs w:val="24"/>
        </w:rPr>
        <w:t xml:space="preserve"> voluntary surrender</w:t>
      </w:r>
      <w:r w:rsidRPr="00F86650">
        <w:rPr>
          <w:sz w:val="24"/>
          <w:szCs w:val="24"/>
        </w:rPr>
        <w:t xml:space="preserve"> of the Alaska Initial Teaching Certificate of </w:t>
      </w:r>
      <w:r w:rsidRPr="00F86650">
        <w:rPr>
          <w:b/>
          <w:sz w:val="24"/>
          <w:szCs w:val="24"/>
        </w:rPr>
        <w:t>Ryan B. Patzwald</w:t>
      </w:r>
      <w:r w:rsidRPr="00F86650">
        <w:rPr>
          <w:sz w:val="24"/>
          <w:szCs w:val="24"/>
        </w:rPr>
        <w:t>.</w:t>
      </w:r>
    </w:p>
    <w:p w14:paraId="6044A9A0" w14:textId="17EFD4D6" w:rsidR="00F86650" w:rsidRPr="00F86650" w:rsidRDefault="00F86650" w:rsidP="00F86650">
      <w:pPr>
        <w:rPr>
          <w:sz w:val="24"/>
          <w:szCs w:val="24"/>
        </w:rPr>
      </w:pPr>
      <w:r w:rsidRPr="00F86650">
        <w:rPr>
          <w:sz w:val="24"/>
          <w:szCs w:val="24"/>
          <w:u w:val="single"/>
        </w:rPr>
        <w:t>Case 20-04</w:t>
      </w:r>
      <w:r w:rsidRPr="00F86650">
        <w:rPr>
          <w:sz w:val="24"/>
          <w:szCs w:val="24"/>
        </w:rPr>
        <w:t>: Commission ordered the acceptance of the</w:t>
      </w:r>
      <w:r w:rsidRPr="00F86650">
        <w:rPr>
          <w:b/>
          <w:sz w:val="24"/>
          <w:szCs w:val="24"/>
        </w:rPr>
        <w:t xml:space="preserve"> voluntary surrender</w:t>
      </w:r>
      <w:r w:rsidRPr="00F86650">
        <w:rPr>
          <w:sz w:val="24"/>
          <w:szCs w:val="24"/>
        </w:rPr>
        <w:t xml:space="preserve"> of the Alaska Limited Teaching Certificate of </w:t>
      </w:r>
      <w:r w:rsidRPr="00F86650">
        <w:rPr>
          <w:b/>
          <w:sz w:val="24"/>
          <w:szCs w:val="24"/>
        </w:rPr>
        <w:t>Leroy J. Hessner</w:t>
      </w:r>
      <w:r>
        <w:rPr>
          <w:b/>
          <w:sz w:val="24"/>
          <w:szCs w:val="24"/>
        </w:rPr>
        <w:t>.</w:t>
      </w:r>
    </w:p>
    <w:p w14:paraId="452C4E78" w14:textId="77777777" w:rsidR="00F86650" w:rsidRPr="00F86650" w:rsidRDefault="00F86650" w:rsidP="00F86650">
      <w:pPr>
        <w:rPr>
          <w:sz w:val="24"/>
          <w:szCs w:val="24"/>
          <w:u w:val="single"/>
        </w:rPr>
      </w:pPr>
      <w:r w:rsidRPr="00F86650">
        <w:rPr>
          <w:sz w:val="24"/>
          <w:szCs w:val="24"/>
          <w:u w:val="single"/>
        </w:rPr>
        <w:t>Case 20-12</w:t>
      </w:r>
      <w:r w:rsidRPr="00F86650">
        <w:rPr>
          <w:sz w:val="24"/>
          <w:szCs w:val="24"/>
        </w:rPr>
        <w:t xml:space="preserve">:  Commission ordered a </w:t>
      </w:r>
      <w:r w:rsidRPr="00F86650">
        <w:rPr>
          <w:b/>
          <w:sz w:val="24"/>
          <w:szCs w:val="24"/>
        </w:rPr>
        <w:t>warning</w:t>
      </w:r>
      <w:r w:rsidRPr="00F86650">
        <w:rPr>
          <w:sz w:val="24"/>
          <w:szCs w:val="24"/>
        </w:rPr>
        <w:t xml:space="preserve"> to an educator who holds an Alaska Professional Teaching Certificate.</w:t>
      </w:r>
    </w:p>
    <w:p w14:paraId="4FCB2849" w14:textId="1AC879A8" w:rsidR="00F86650" w:rsidRPr="00F86650" w:rsidRDefault="00F86650" w:rsidP="00F86650">
      <w:pPr>
        <w:rPr>
          <w:sz w:val="24"/>
          <w:szCs w:val="24"/>
        </w:rPr>
      </w:pPr>
      <w:r w:rsidRPr="00F86650">
        <w:rPr>
          <w:sz w:val="24"/>
          <w:szCs w:val="24"/>
          <w:u w:val="single"/>
        </w:rPr>
        <w:t>Case 20-13</w:t>
      </w:r>
      <w:r w:rsidRPr="00F86650">
        <w:rPr>
          <w:sz w:val="24"/>
          <w:szCs w:val="24"/>
        </w:rPr>
        <w:t xml:space="preserve">:  Commission ordered the </w:t>
      </w:r>
      <w:r w:rsidRPr="00F86650">
        <w:rPr>
          <w:b/>
          <w:sz w:val="24"/>
          <w:szCs w:val="24"/>
        </w:rPr>
        <w:t>one-year suspension</w:t>
      </w:r>
      <w:r w:rsidRPr="00F86650">
        <w:rPr>
          <w:sz w:val="24"/>
          <w:szCs w:val="24"/>
        </w:rPr>
        <w:t xml:space="preserve"> of the Alaska Initial Teaching Certificate of </w:t>
      </w:r>
      <w:r w:rsidRPr="00F86650">
        <w:rPr>
          <w:b/>
          <w:sz w:val="24"/>
          <w:szCs w:val="24"/>
        </w:rPr>
        <w:t>Shannon Drew Inman</w:t>
      </w:r>
      <w:r w:rsidRPr="00F86650">
        <w:rPr>
          <w:sz w:val="24"/>
          <w:szCs w:val="24"/>
        </w:rPr>
        <w:t>, effective August 19, 2019.</w:t>
      </w:r>
    </w:p>
    <w:p w14:paraId="3FD5586E" w14:textId="77777777" w:rsidR="00F86650" w:rsidRPr="00F86650" w:rsidRDefault="00F86650" w:rsidP="00F86650">
      <w:pPr>
        <w:rPr>
          <w:b/>
          <w:sz w:val="24"/>
          <w:szCs w:val="24"/>
        </w:rPr>
      </w:pPr>
      <w:r w:rsidRPr="00F86650">
        <w:rPr>
          <w:sz w:val="24"/>
          <w:szCs w:val="24"/>
          <w:u w:val="single"/>
        </w:rPr>
        <w:t>Case 20-15:</w:t>
      </w:r>
      <w:r w:rsidRPr="00F86650">
        <w:rPr>
          <w:sz w:val="24"/>
          <w:szCs w:val="24"/>
        </w:rPr>
        <w:t xml:space="preserve"> Commission ordered the acceptance of the</w:t>
      </w:r>
      <w:r w:rsidRPr="00F86650">
        <w:rPr>
          <w:b/>
          <w:sz w:val="24"/>
          <w:szCs w:val="24"/>
        </w:rPr>
        <w:t xml:space="preserve"> voluntary surrender</w:t>
      </w:r>
      <w:r w:rsidRPr="00F86650">
        <w:rPr>
          <w:sz w:val="24"/>
          <w:szCs w:val="24"/>
        </w:rPr>
        <w:t xml:space="preserve"> of the Alaska Professional Teaching Certificate of </w:t>
      </w:r>
      <w:r w:rsidRPr="00F86650">
        <w:rPr>
          <w:b/>
          <w:sz w:val="24"/>
          <w:szCs w:val="24"/>
        </w:rPr>
        <w:t>John W. Mann.</w:t>
      </w:r>
    </w:p>
    <w:p w14:paraId="76AE3A9E" w14:textId="77777777" w:rsidR="00F86650" w:rsidRPr="00F86650" w:rsidRDefault="00F86650" w:rsidP="00F86650">
      <w:pPr>
        <w:rPr>
          <w:b/>
          <w:sz w:val="24"/>
          <w:szCs w:val="24"/>
        </w:rPr>
      </w:pPr>
      <w:r w:rsidRPr="00F86650">
        <w:rPr>
          <w:sz w:val="24"/>
          <w:szCs w:val="24"/>
          <w:u w:val="single"/>
        </w:rPr>
        <w:t>Case 20-19</w:t>
      </w:r>
      <w:r w:rsidRPr="00F86650">
        <w:rPr>
          <w:sz w:val="24"/>
          <w:szCs w:val="24"/>
        </w:rPr>
        <w:t>: Commission ordered the acceptance of the</w:t>
      </w:r>
      <w:r w:rsidRPr="00F86650">
        <w:rPr>
          <w:b/>
          <w:sz w:val="24"/>
          <w:szCs w:val="24"/>
        </w:rPr>
        <w:t xml:space="preserve"> voluntary surrender</w:t>
      </w:r>
      <w:r w:rsidRPr="00F86650">
        <w:rPr>
          <w:sz w:val="24"/>
          <w:szCs w:val="24"/>
        </w:rPr>
        <w:t xml:space="preserve"> of the Alaska Professional Teaching Certificate of </w:t>
      </w:r>
      <w:r w:rsidRPr="00F86650">
        <w:rPr>
          <w:b/>
          <w:sz w:val="24"/>
          <w:szCs w:val="24"/>
        </w:rPr>
        <w:t>Mark W. Chapin.</w:t>
      </w:r>
    </w:p>
    <w:p w14:paraId="150BA441" w14:textId="1AD8B84E" w:rsidR="00F86650" w:rsidRDefault="00F86650" w:rsidP="00F86650">
      <w:pPr>
        <w:rPr>
          <w:sz w:val="24"/>
          <w:szCs w:val="24"/>
        </w:rPr>
      </w:pPr>
      <w:r w:rsidRPr="00F86650">
        <w:rPr>
          <w:sz w:val="24"/>
          <w:szCs w:val="24"/>
          <w:u w:val="single"/>
        </w:rPr>
        <w:t>Case 19-50</w:t>
      </w:r>
      <w:r w:rsidRPr="00F86650">
        <w:rPr>
          <w:sz w:val="24"/>
          <w:szCs w:val="24"/>
        </w:rPr>
        <w:t xml:space="preserve">: Commission ordered the </w:t>
      </w:r>
      <w:r w:rsidRPr="00F86650">
        <w:rPr>
          <w:b/>
          <w:sz w:val="24"/>
          <w:szCs w:val="24"/>
        </w:rPr>
        <w:t>one-year suspension</w:t>
      </w:r>
      <w:r w:rsidRPr="00F86650">
        <w:rPr>
          <w:sz w:val="24"/>
          <w:szCs w:val="24"/>
        </w:rPr>
        <w:t xml:space="preserve"> of the Alaska Initial Teaching Certificate of </w:t>
      </w:r>
      <w:r w:rsidRPr="00F86650">
        <w:rPr>
          <w:b/>
          <w:sz w:val="24"/>
          <w:szCs w:val="24"/>
        </w:rPr>
        <w:t>Jimmy McGill</w:t>
      </w:r>
      <w:r w:rsidRPr="00F86650">
        <w:rPr>
          <w:sz w:val="24"/>
          <w:szCs w:val="24"/>
        </w:rPr>
        <w:t>, effective October 11, 2019.</w:t>
      </w:r>
    </w:p>
    <w:p w14:paraId="072341A9" w14:textId="77777777" w:rsidR="00F86650" w:rsidRPr="00F86650" w:rsidRDefault="00F86650" w:rsidP="00F86650">
      <w:pPr>
        <w:rPr>
          <w:sz w:val="24"/>
          <w:szCs w:val="24"/>
        </w:rPr>
      </w:pPr>
    </w:p>
    <w:p w14:paraId="3BAF427E" w14:textId="5CC1C906" w:rsidR="00F86650" w:rsidRPr="00F86650" w:rsidRDefault="00F86650" w:rsidP="00F86650">
      <w:pPr>
        <w:rPr>
          <w:sz w:val="24"/>
          <w:szCs w:val="24"/>
        </w:rPr>
      </w:pPr>
      <w:r w:rsidRPr="00F86650">
        <w:rPr>
          <w:sz w:val="24"/>
          <w:szCs w:val="24"/>
        </w:rPr>
        <w:t xml:space="preserve">At the </w:t>
      </w:r>
      <w:r w:rsidRPr="00F86650">
        <w:rPr>
          <w:b/>
          <w:sz w:val="24"/>
          <w:szCs w:val="24"/>
        </w:rPr>
        <w:t xml:space="preserve">April 23 - 24, 2020 </w:t>
      </w:r>
      <w:r w:rsidR="00603BAF" w:rsidRPr="00F86650">
        <w:rPr>
          <w:sz w:val="24"/>
          <w:szCs w:val="24"/>
        </w:rPr>
        <w:t>meeting the</w:t>
      </w:r>
      <w:r w:rsidRPr="00F86650">
        <w:rPr>
          <w:sz w:val="24"/>
          <w:szCs w:val="24"/>
        </w:rPr>
        <w:t xml:space="preserve"> following action was taken by the Commission:</w:t>
      </w:r>
    </w:p>
    <w:p w14:paraId="4D96B982" w14:textId="77777777" w:rsidR="00F86650" w:rsidRPr="00F86650" w:rsidRDefault="00F86650" w:rsidP="00F86650">
      <w:pPr>
        <w:rPr>
          <w:sz w:val="24"/>
          <w:szCs w:val="24"/>
        </w:rPr>
      </w:pPr>
    </w:p>
    <w:p w14:paraId="2A5792FC" w14:textId="77777777" w:rsidR="00F86650" w:rsidRPr="00F86650" w:rsidRDefault="00F86650" w:rsidP="00F86650">
      <w:pPr>
        <w:rPr>
          <w:sz w:val="24"/>
          <w:szCs w:val="24"/>
        </w:rPr>
      </w:pPr>
      <w:r w:rsidRPr="00F86650">
        <w:rPr>
          <w:sz w:val="24"/>
          <w:szCs w:val="24"/>
          <w:u w:val="single"/>
        </w:rPr>
        <w:t>Case 19-45</w:t>
      </w:r>
      <w:r w:rsidRPr="00F86650">
        <w:rPr>
          <w:sz w:val="24"/>
          <w:szCs w:val="24"/>
        </w:rPr>
        <w:t xml:space="preserve">:  Commission ordered the </w:t>
      </w:r>
      <w:r w:rsidRPr="00F86650">
        <w:rPr>
          <w:b/>
          <w:sz w:val="24"/>
          <w:szCs w:val="24"/>
        </w:rPr>
        <w:t>one-year suspension</w:t>
      </w:r>
      <w:r w:rsidRPr="00F86650">
        <w:rPr>
          <w:sz w:val="24"/>
          <w:szCs w:val="24"/>
        </w:rPr>
        <w:t xml:space="preserve"> of the Alaska Initial Teaching Certificate of </w:t>
      </w:r>
      <w:r w:rsidRPr="00F86650">
        <w:rPr>
          <w:b/>
          <w:sz w:val="24"/>
          <w:szCs w:val="24"/>
        </w:rPr>
        <w:t>Matthew A. Willette</w:t>
      </w:r>
      <w:r w:rsidRPr="00F86650">
        <w:rPr>
          <w:sz w:val="24"/>
          <w:szCs w:val="24"/>
        </w:rPr>
        <w:t>, effective August 1, 2019.</w:t>
      </w:r>
    </w:p>
    <w:p w14:paraId="7CAE9074" w14:textId="77777777" w:rsidR="00F86650" w:rsidRPr="00F86650" w:rsidRDefault="00F86650" w:rsidP="00F86650">
      <w:pPr>
        <w:rPr>
          <w:sz w:val="24"/>
          <w:szCs w:val="24"/>
        </w:rPr>
      </w:pPr>
      <w:r w:rsidRPr="00F86650">
        <w:rPr>
          <w:sz w:val="24"/>
          <w:szCs w:val="24"/>
          <w:u w:val="single"/>
        </w:rPr>
        <w:t>Case 20-03</w:t>
      </w:r>
      <w:r w:rsidRPr="00F86650">
        <w:rPr>
          <w:sz w:val="24"/>
          <w:szCs w:val="24"/>
        </w:rPr>
        <w:t xml:space="preserve">:  Commission ordered the </w:t>
      </w:r>
      <w:r w:rsidRPr="00F86650">
        <w:rPr>
          <w:b/>
          <w:sz w:val="24"/>
          <w:szCs w:val="24"/>
        </w:rPr>
        <w:t>one-year suspension</w:t>
      </w:r>
      <w:r w:rsidRPr="00F86650">
        <w:rPr>
          <w:sz w:val="24"/>
          <w:szCs w:val="24"/>
        </w:rPr>
        <w:t xml:space="preserve"> of the Alaska Initial Teaching Certificate of </w:t>
      </w:r>
      <w:r w:rsidRPr="00F86650">
        <w:rPr>
          <w:b/>
          <w:sz w:val="24"/>
          <w:szCs w:val="24"/>
        </w:rPr>
        <w:t>Jessica Heisler</w:t>
      </w:r>
      <w:r w:rsidRPr="00F86650">
        <w:rPr>
          <w:sz w:val="24"/>
          <w:szCs w:val="24"/>
        </w:rPr>
        <w:t>, effective August 2, 2019.</w:t>
      </w:r>
    </w:p>
    <w:p w14:paraId="4FE8BA36" w14:textId="77777777" w:rsidR="00F86650" w:rsidRPr="00F86650" w:rsidRDefault="00F86650" w:rsidP="00F86650">
      <w:pPr>
        <w:rPr>
          <w:sz w:val="24"/>
          <w:szCs w:val="24"/>
        </w:rPr>
      </w:pPr>
      <w:r w:rsidRPr="00F86650">
        <w:rPr>
          <w:sz w:val="24"/>
          <w:szCs w:val="24"/>
          <w:u w:val="single"/>
        </w:rPr>
        <w:t>Case 20-07</w:t>
      </w:r>
      <w:r w:rsidRPr="00F86650">
        <w:rPr>
          <w:sz w:val="24"/>
          <w:szCs w:val="24"/>
        </w:rPr>
        <w:t xml:space="preserve">: Commission ordered the </w:t>
      </w:r>
      <w:r w:rsidRPr="00F86650">
        <w:rPr>
          <w:b/>
          <w:sz w:val="24"/>
          <w:szCs w:val="24"/>
        </w:rPr>
        <w:t>one-year suspension</w:t>
      </w:r>
      <w:r w:rsidRPr="00F86650">
        <w:rPr>
          <w:sz w:val="24"/>
          <w:szCs w:val="24"/>
        </w:rPr>
        <w:t xml:space="preserve"> of the Alaska Professional Teaching Certificate of </w:t>
      </w:r>
      <w:r w:rsidRPr="00F86650">
        <w:rPr>
          <w:b/>
          <w:sz w:val="24"/>
          <w:szCs w:val="24"/>
        </w:rPr>
        <w:t>Vallorie Buffa</w:t>
      </w:r>
      <w:r w:rsidRPr="00F86650">
        <w:rPr>
          <w:sz w:val="24"/>
          <w:szCs w:val="24"/>
        </w:rPr>
        <w:t>, effective August 14, 2019.</w:t>
      </w:r>
    </w:p>
    <w:p w14:paraId="2E3C7E10" w14:textId="77777777" w:rsidR="00F86650" w:rsidRPr="00F86650" w:rsidRDefault="00F86650" w:rsidP="00F86650">
      <w:pPr>
        <w:rPr>
          <w:sz w:val="24"/>
          <w:szCs w:val="24"/>
          <w:u w:val="single"/>
        </w:rPr>
      </w:pPr>
      <w:r w:rsidRPr="00F86650">
        <w:rPr>
          <w:sz w:val="24"/>
          <w:szCs w:val="24"/>
          <w:u w:val="single"/>
        </w:rPr>
        <w:t>Case 20-21</w:t>
      </w:r>
      <w:r w:rsidRPr="00F86650">
        <w:rPr>
          <w:sz w:val="24"/>
          <w:szCs w:val="24"/>
        </w:rPr>
        <w:t xml:space="preserve">:  Commission ordered a </w:t>
      </w:r>
      <w:r w:rsidRPr="00F86650">
        <w:rPr>
          <w:b/>
          <w:sz w:val="24"/>
          <w:szCs w:val="24"/>
        </w:rPr>
        <w:t>warning</w:t>
      </w:r>
      <w:r w:rsidRPr="00F86650">
        <w:rPr>
          <w:sz w:val="24"/>
          <w:szCs w:val="24"/>
        </w:rPr>
        <w:t xml:space="preserve"> to an educator who holds an Alaska Professional Teaching Certificate.</w:t>
      </w:r>
    </w:p>
    <w:p w14:paraId="1398A85D" w14:textId="50EC6F4E" w:rsidR="00953856" w:rsidRDefault="00953856" w:rsidP="00F86650">
      <w:r>
        <w:br w:type="page"/>
      </w:r>
    </w:p>
    <w:p w14:paraId="627FC303" w14:textId="77777777" w:rsidR="00953856" w:rsidRDefault="00953856" w:rsidP="00F01E7A">
      <w:pPr>
        <w:pStyle w:val="Heading2"/>
      </w:pPr>
      <w:r>
        <w:lastRenderedPageBreak/>
        <w:t>PRESENTATIONS AND PUBLICATIONS</w:t>
      </w:r>
    </w:p>
    <w:p w14:paraId="5A693204" w14:textId="77777777" w:rsidR="00953856" w:rsidRPr="00707417" w:rsidRDefault="00953856" w:rsidP="00953856">
      <w:pPr>
        <w:rPr>
          <w:sz w:val="24"/>
          <w:szCs w:val="24"/>
        </w:rPr>
      </w:pPr>
    </w:p>
    <w:p w14:paraId="10B09AD3" w14:textId="259A7FD0" w:rsidR="00953856" w:rsidRPr="008D074D" w:rsidRDefault="00953856" w:rsidP="00953856">
      <w:pPr>
        <w:pStyle w:val="Heading3"/>
      </w:pPr>
      <w:r w:rsidRPr="008D074D">
        <w:t>Presentations</w:t>
      </w:r>
    </w:p>
    <w:p w14:paraId="62303C2F" w14:textId="77777777" w:rsidR="00953856" w:rsidRPr="00317443" w:rsidRDefault="00953856" w:rsidP="00953856"/>
    <w:p w14:paraId="6F81C55E" w14:textId="0FA23FBC" w:rsidR="00953856" w:rsidRPr="00F11209" w:rsidRDefault="00953856" w:rsidP="00953856">
      <w:pPr>
        <w:rPr>
          <w:sz w:val="24"/>
          <w:szCs w:val="24"/>
        </w:rPr>
      </w:pPr>
      <w:r w:rsidRPr="00F11209">
        <w:rPr>
          <w:sz w:val="24"/>
          <w:szCs w:val="24"/>
        </w:rPr>
        <w:t xml:space="preserve">Presentations on professionalism, professional ethics, and the role of the Commission were given to </w:t>
      </w:r>
      <w:r w:rsidR="00707417">
        <w:rPr>
          <w:sz w:val="24"/>
          <w:szCs w:val="24"/>
        </w:rPr>
        <w:t>many educator groups around the state. Staff</w:t>
      </w:r>
      <w:r w:rsidR="00707417" w:rsidRPr="00707417">
        <w:rPr>
          <w:sz w:val="24"/>
          <w:szCs w:val="24"/>
        </w:rPr>
        <w:t xml:space="preserve"> presented at AASB Fall Boardsmanship Academy, with 55+ school board members and superintendents from around the state. </w:t>
      </w:r>
      <w:r w:rsidR="00707417">
        <w:rPr>
          <w:sz w:val="24"/>
          <w:szCs w:val="24"/>
        </w:rPr>
        <w:t>T</w:t>
      </w:r>
      <w:r w:rsidR="00707417" w:rsidRPr="00707417">
        <w:rPr>
          <w:sz w:val="24"/>
          <w:szCs w:val="24"/>
        </w:rPr>
        <w:t>wo presentations</w:t>
      </w:r>
      <w:r w:rsidR="00707417">
        <w:rPr>
          <w:sz w:val="24"/>
          <w:szCs w:val="24"/>
        </w:rPr>
        <w:t xml:space="preserve"> were made</w:t>
      </w:r>
      <w:r w:rsidR="00707417" w:rsidRPr="00707417">
        <w:rPr>
          <w:sz w:val="24"/>
          <w:szCs w:val="24"/>
        </w:rPr>
        <w:t xml:space="preserve"> to all education students at UAS. </w:t>
      </w:r>
      <w:r w:rsidR="00707417">
        <w:rPr>
          <w:sz w:val="24"/>
          <w:szCs w:val="24"/>
        </w:rPr>
        <w:t xml:space="preserve">Staff </w:t>
      </w:r>
      <w:r w:rsidR="00707417" w:rsidRPr="00707417">
        <w:rPr>
          <w:sz w:val="24"/>
          <w:szCs w:val="24"/>
        </w:rPr>
        <w:t xml:space="preserve">presented twice to state school psychologists during their annual conference and </w:t>
      </w:r>
      <w:r w:rsidR="00707417">
        <w:rPr>
          <w:sz w:val="24"/>
          <w:szCs w:val="24"/>
        </w:rPr>
        <w:t xml:space="preserve">staff </w:t>
      </w:r>
      <w:r w:rsidR="00707417" w:rsidRPr="00707417">
        <w:rPr>
          <w:sz w:val="24"/>
          <w:szCs w:val="24"/>
        </w:rPr>
        <w:t xml:space="preserve">spoke at Delegate Assembly to the entire NEA-AK delegation of four hundred educators. </w:t>
      </w:r>
      <w:r w:rsidR="00707417">
        <w:rPr>
          <w:sz w:val="24"/>
          <w:szCs w:val="24"/>
        </w:rPr>
        <w:t>Staff</w:t>
      </w:r>
      <w:r w:rsidR="00707417" w:rsidRPr="00707417">
        <w:rPr>
          <w:sz w:val="24"/>
          <w:szCs w:val="24"/>
        </w:rPr>
        <w:t xml:space="preserve"> present</w:t>
      </w:r>
      <w:r w:rsidR="00707417">
        <w:rPr>
          <w:sz w:val="24"/>
          <w:szCs w:val="24"/>
        </w:rPr>
        <w:t>ed</w:t>
      </w:r>
      <w:r w:rsidR="00707417" w:rsidRPr="00707417">
        <w:rPr>
          <w:sz w:val="24"/>
          <w:szCs w:val="24"/>
        </w:rPr>
        <w:t xml:space="preserve"> to the superintendent candidates at UAS in early March. </w:t>
      </w:r>
      <w:r w:rsidR="00707417">
        <w:rPr>
          <w:sz w:val="24"/>
          <w:szCs w:val="24"/>
        </w:rPr>
        <w:t>Staff</w:t>
      </w:r>
      <w:r w:rsidR="00707417" w:rsidRPr="00707417">
        <w:rPr>
          <w:sz w:val="24"/>
          <w:szCs w:val="24"/>
        </w:rPr>
        <w:t xml:space="preserve"> presented to 24 district principal candidates for one school district. The pandemic prevented other presentations from happening.</w:t>
      </w:r>
      <w:r w:rsidR="00707417">
        <w:rPr>
          <w:sz w:val="24"/>
          <w:szCs w:val="24"/>
        </w:rPr>
        <w:t xml:space="preserve"> </w:t>
      </w:r>
      <w:r w:rsidRPr="00F11209">
        <w:rPr>
          <w:sz w:val="24"/>
          <w:szCs w:val="24"/>
        </w:rPr>
        <w:t>Executive Director’s activities included attending the annual NASDTEC Professional Practices Institute.</w:t>
      </w:r>
    </w:p>
    <w:p w14:paraId="607D8F5F" w14:textId="77777777" w:rsidR="00953856" w:rsidRPr="00A07A32" w:rsidRDefault="00953856" w:rsidP="00953856">
      <w:pPr>
        <w:ind w:left="1440" w:hanging="1440"/>
        <w:rPr>
          <w:sz w:val="24"/>
          <w:szCs w:val="24"/>
        </w:rPr>
      </w:pPr>
    </w:p>
    <w:p w14:paraId="4BF222D3" w14:textId="44F1C3E6" w:rsidR="00953856" w:rsidRPr="008D074D" w:rsidRDefault="00953856" w:rsidP="00953856">
      <w:pPr>
        <w:pStyle w:val="Heading3"/>
      </w:pPr>
      <w:r w:rsidRPr="008D074D">
        <w:t>Newsletter</w:t>
      </w:r>
    </w:p>
    <w:p w14:paraId="232EE766" w14:textId="77777777" w:rsidR="00953856" w:rsidRPr="00317443" w:rsidRDefault="00953856" w:rsidP="00953856"/>
    <w:p w14:paraId="596FF95D" w14:textId="4B8C1555" w:rsidR="00953856" w:rsidRDefault="00953856" w:rsidP="00953856">
      <w:pPr>
        <w:widowControl w:val="0"/>
        <w:rPr>
          <w:sz w:val="24"/>
          <w:szCs w:val="24"/>
        </w:rPr>
      </w:pPr>
      <w:r w:rsidRPr="00F11209">
        <w:rPr>
          <w:sz w:val="24"/>
          <w:szCs w:val="24"/>
        </w:rPr>
        <w:t>T</w:t>
      </w:r>
      <w:r w:rsidR="00707417">
        <w:rPr>
          <w:sz w:val="24"/>
          <w:szCs w:val="24"/>
        </w:rPr>
        <w:t>wo newsletters were produced in Winter and Spring of 2020.</w:t>
      </w:r>
      <w:r w:rsidRPr="00F11209">
        <w:rPr>
          <w:sz w:val="24"/>
          <w:szCs w:val="24"/>
        </w:rPr>
        <w:t xml:space="preserve"> </w:t>
      </w:r>
      <w:r w:rsidR="00707417">
        <w:rPr>
          <w:sz w:val="24"/>
          <w:szCs w:val="24"/>
        </w:rPr>
        <w:t>They were</w:t>
      </w:r>
      <w:r w:rsidRPr="00F11209">
        <w:rPr>
          <w:sz w:val="24"/>
          <w:szCs w:val="24"/>
        </w:rPr>
        <w:t xml:space="preserve"> distributed electronically to all school districts (through the superintendent) and to other education stakeholders in Alaska. The annual newsletter was also distributed as part of the Department of Education and Early Development’s weekly </w:t>
      </w:r>
      <w:r w:rsidRPr="00F11209">
        <w:rPr>
          <w:i/>
          <w:sz w:val="24"/>
          <w:szCs w:val="24"/>
        </w:rPr>
        <w:t>Information Exchange Newsletter</w:t>
      </w:r>
      <w:r w:rsidRPr="00F11209">
        <w:rPr>
          <w:sz w:val="24"/>
          <w:szCs w:val="24"/>
        </w:rPr>
        <w:t>. It is a</w:t>
      </w:r>
      <w:r>
        <w:rPr>
          <w:sz w:val="24"/>
          <w:szCs w:val="24"/>
        </w:rPr>
        <w:t xml:space="preserve">lso posted to the </w:t>
      </w:r>
      <w:hyperlink r:id="rId9" w:history="1">
        <w:r w:rsidRPr="00625C05">
          <w:rPr>
            <w:rStyle w:val="Hyperlink"/>
            <w:rFonts w:eastAsiaTheme="majorEastAsia"/>
          </w:rPr>
          <w:t>PTPC homepage</w:t>
        </w:r>
      </w:hyperlink>
      <w:r>
        <w:rPr>
          <w:sz w:val="24"/>
          <w:szCs w:val="24"/>
        </w:rPr>
        <w:t xml:space="preserve"> (</w:t>
      </w:r>
      <w:r w:rsidRPr="00625C05">
        <w:rPr>
          <w:sz w:val="24"/>
          <w:szCs w:val="24"/>
        </w:rPr>
        <w:t>http://education.alaska.gov/ptpc/</w:t>
      </w:r>
      <w:r w:rsidRPr="00625C05">
        <w:t>)</w:t>
      </w:r>
      <w:r>
        <w:t>.</w:t>
      </w:r>
      <w:r>
        <w:rPr>
          <w:sz w:val="24"/>
          <w:szCs w:val="24"/>
        </w:rPr>
        <w:t xml:space="preserve"> </w:t>
      </w:r>
      <w:r w:rsidRPr="00F11209">
        <w:rPr>
          <w:sz w:val="24"/>
          <w:szCs w:val="24"/>
        </w:rPr>
        <w:t>Paper copies of the newsletter are available upon request.</w:t>
      </w:r>
    </w:p>
    <w:p w14:paraId="37BE3F4D" w14:textId="77777777" w:rsidR="00953856" w:rsidRPr="008D074D" w:rsidRDefault="00953856" w:rsidP="00953856">
      <w:pPr>
        <w:widowControl w:val="0"/>
        <w:rPr>
          <w:color w:val="auto"/>
          <w:sz w:val="24"/>
          <w:szCs w:val="24"/>
        </w:rPr>
      </w:pPr>
    </w:p>
    <w:p w14:paraId="188F30A3" w14:textId="5D537624" w:rsidR="00953856" w:rsidRPr="008D074D" w:rsidRDefault="00953856" w:rsidP="00953856">
      <w:pPr>
        <w:pStyle w:val="Heading3"/>
      </w:pPr>
      <w:r w:rsidRPr="008D074D">
        <w:t>PTPC Handbook</w:t>
      </w:r>
    </w:p>
    <w:p w14:paraId="48499184" w14:textId="77777777" w:rsidR="00953856" w:rsidRPr="00317443" w:rsidRDefault="00953856" w:rsidP="00953856"/>
    <w:p w14:paraId="4960468D" w14:textId="77777777" w:rsidR="00953856" w:rsidRDefault="00953856" w:rsidP="00953856">
      <w:pPr>
        <w:widowControl w:val="0"/>
        <w:rPr>
          <w:sz w:val="24"/>
          <w:szCs w:val="24"/>
        </w:rPr>
      </w:pPr>
      <w:r w:rsidRPr="004571FD">
        <w:rPr>
          <w:sz w:val="24"/>
          <w:szCs w:val="24"/>
        </w:rPr>
        <w:t>The PTPC Hand</w:t>
      </w:r>
      <w:r>
        <w:rPr>
          <w:sz w:val="24"/>
          <w:szCs w:val="24"/>
        </w:rPr>
        <w:t>book for Alaska Educators</w:t>
      </w:r>
      <w:r w:rsidRPr="004571FD">
        <w:rPr>
          <w:sz w:val="24"/>
          <w:szCs w:val="24"/>
        </w:rPr>
        <w:t xml:space="preserve"> includes the Alaska statute that created the Commission, the Code of Ethics, </w:t>
      </w:r>
      <w:r>
        <w:rPr>
          <w:sz w:val="24"/>
          <w:szCs w:val="24"/>
        </w:rPr>
        <w:t xml:space="preserve">and Complaint Screening Guidelines, </w:t>
      </w:r>
      <w:r w:rsidRPr="004571FD">
        <w:rPr>
          <w:sz w:val="24"/>
          <w:szCs w:val="24"/>
        </w:rPr>
        <w:t>the investigative procedures of the Commission,</w:t>
      </w:r>
      <w:r>
        <w:rPr>
          <w:sz w:val="24"/>
          <w:szCs w:val="24"/>
        </w:rPr>
        <w:t xml:space="preserve"> Alaska Statutes and Regulations, the Complaint Form. Find the</w:t>
      </w:r>
      <w:r w:rsidRPr="008E4B20">
        <w:rPr>
          <w:sz w:val="24"/>
          <w:szCs w:val="24"/>
        </w:rPr>
        <w:t xml:space="preserve"> Handbook</w:t>
      </w:r>
      <w:r>
        <w:rPr>
          <w:sz w:val="24"/>
          <w:szCs w:val="24"/>
        </w:rPr>
        <w:t xml:space="preserve"> at the </w:t>
      </w:r>
      <w:hyperlink r:id="rId10" w:history="1">
        <w:r w:rsidRPr="00625C05">
          <w:rPr>
            <w:rStyle w:val="Hyperlink"/>
            <w:rFonts w:eastAsiaTheme="majorEastAsia"/>
          </w:rPr>
          <w:t>PTPC Homepage</w:t>
        </w:r>
      </w:hyperlink>
      <w:r>
        <w:rPr>
          <w:sz w:val="24"/>
          <w:szCs w:val="24"/>
        </w:rPr>
        <w:t xml:space="preserve"> (</w:t>
      </w:r>
      <w:r w:rsidRPr="00625C05">
        <w:rPr>
          <w:sz w:val="24"/>
          <w:szCs w:val="24"/>
        </w:rPr>
        <w:t>http://education.alaska.gov/ptpc</w:t>
      </w:r>
      <w:r>
        <w:rPr>
          <w:sz w:val="24"/>
          <w:szCs w:val="24"/>
        </w:rPr>
        <w:t>).</w:t>
      </w:r>
      <w:r w:rsidRPr="004571FD">
        <w:rPr>
          <w:sz w:val="24"/>
          <w:szCs w:val="24"/>
        </w:rPr>
        <w:t xml:space="preserve"> PTPC newsletters and annual reports are also available on the Web site.</w:t>
      </w:r>
    </w:p>
    <w:p w14:paraId="0D7F61A6" w14:textId="77777777" w:rsidR="00953856" w:rsidRDefault="00953856" w:rsidP="00953856">
      <w:pPr>
        <w:widowControl w:val="0"/>
        <w:rPr>
          <w:sz w:val="24"/>
          <w:szCs w:val="24"/>
        </w:rPr>
      </w:pPr>
    </w:p>
    <w:p w14:paraId="6AD1C949" w14:textId="77777777" w:rsidR="00953856" w:rsidRDefault="00953856" w:rsidP="00953856">
      <w:pPr>
        <w:pStyle w:val="Heading2"/>
        <w:rPr>
          <w:rStyle w:val="Heading2Char"/>
        </w:rPr>
      </w:pPr>
      <w:r>
        <w:rPr>
          <w:szCs w:val="24"/>
        </w:rPr>
        <w:t>S</w:t>
      </w:r>
      <w:r w:rsidRPr="00317443">
        <w:rPr>
          <w:rStyle w:val="Heading2Char"/>
        </w:rPr>
        <w:t>TATUTES AND REGULATIONS</w:t>
      </w:r>
    </w:p>
    <w:p w14:paraId="0D23E744" w14:textId="77777777" w:rsidR="00953856" w:rsidRPr="00317443" w:rsidRDefault="00953856" w:rsidP="00953856">
      <w:pPr>
        <w:rPr>
          <w:rFonts w:eastAsiaTheme="majorEastAsia"/>
        </w:rPr>
      </w:pPr>
    </w:p>
    <w:p w14:paraId="356BC4FD" w14:textId="77777777" w:rsidR="00953856" w:rsidRPr="008D074D" w:rsidRDefault="00953856" w:rsidP="00953856">
      <w:pPr>
        <w:pStyle w:val="Heading3"/>
      </w:pPr>
      <w:r w:rsidRPr="008D074D">
        <w:rPr>
          <w:rStyle w:val="Heading3Char"/>
        </w:rPr>
        <w:t>DISTRIBUTION OF HANDBOOK (20 AAC 10.310</w:t>
      </w:r>
      <w:r w:rsidRPr="008D074D">
        <w:t>)</w:t>
      </w:r>
    </w:p>
    <w:p w14:paraId="0270FAFA" w14:textId="77777777" w:rsidR="00953856" w:rsidRPr="00954F51" w:rsidRDefault="00953856" w:rsidP="00953856">
      <w:pPr>
        <w:pStyle w:val="BodyText"/>
        <w:widowControl w:val="0"/>
      </w:pPr>
      <w:r w:rsidRPr="004571FD">
        <w:t>Copies of the Alaska State Professional Teaching Practices Commission’s Handbook for Alaska Educators shall be conspicuously displayed and available, at every education institution in the state whose employees are members of the teaching profession under AS 14.20.370.</w:t>
      </w:r>
    </w:p>
    <w:p w14:paraId="4358ECDC" w14:textId="77777777" w:rsidR="00953856" w:rsidRPr="008D074D" w:rsidRDefault="00953856" w:rsidP="00953856">
      <w:pPr>
        <w:pStyle w:val="Heading3"/>
      </w:pPr>
      <w:r w:rsidRPr="008D074D">
        <w:t>TEACHING PROFESSION (AS 14.20.370)</w:t>
      </w:r>
    </w:p>
    <w:p w14:paraId="45839BED" w14:textId="77777777" w:rsidR="00953856" w:rsidRPr="00954F51" w:rsidRDefault="00953856" w:rsidP="00953856">
      <w:pPr>
        <w:pStyle w:val="BodyText"/>
        <w:spacing w:after="240"/>
        <w:rPr>
          <w:b/>
        </w:rPr>
      </w:pPr>
      <w:r w:rsidRPr="00E451D8">
        <w:t>Teachers required by state law to be certificated, instructors in institutions of higher learning, school administrators, school program administrators, and school counselors are within the teaching profession.</w:t>
      </w:r>
    </w:p>
    <w:p w14:paraId="6501A212" w14:textId="77777777" w:rsidR="00953856" w:rsidRPr="00954F51" w:rsidRDefault="00953856" w:rsidP="00953856">
      <w:pPr>
        <w:pStyle w:val="Heading3"/>
      </w:pPr>
      <w:r w:rsidRPr="00954F51">
        <w:t>EFFECT OF THE CODE OF ETHICS (AS 14.20.480)</w:t>
      </w:r>
    </w:p>
    <w:p w14:paraId="0AB3779D" w14:textId="77777777" w:rsidR="00953856" w:rsidRPr="00E451D8" w:rsidRDefault="00953856" w:rsidP="00953856">
      <w:pPr>
        <w:pStyle w:val="BodyText"/>
      </w:pPr>
      <w:r w:rsidRPr="00E451D8">
        <w:t xml:space="preserve">Members of the teaching profession are obligated to abide by the professional teaching standards adopted by the Professional Teaching Practices Commission. </w:t>
      </w:r>
    </w:p>
    <w:p w14:paraId="22008B2B" w14:textId="77777777" w:rsidR="00953856" w:rsidRPr="008D074D" w:rsidRDefault="00953856" w:rsidP="00953856">
      <w:pPr>
        <w:pStyle w:val="Heading3"/>
      </w:pPr>
      <w:r w:rsidRPr="008D074D">
        <w:t>CODE OF ETHICS (20 AAC 10.020)</w:t>
      </w:r>
    </w:p>
    <w:p w14:paraId="09E7AEE4" w14:textId="77777777" w:rsidR="00953856" w:rsidRPr="00954F51" w:rsidRDefault="00953856" w:rsidP="00953856">
      <w:pPr>
        <w:rPr>
          <w:sz w:val="24"/>
          <w:szCs w:val="24"/>
        </w:rPr>
      </w:pPr>
      <w:r w:rsidRPr="00E451D8">
        <w:rPr>
          <w:sz w:val="24"/>
          <w:szCs w:val="24"/>
        </w:rPr>
        <w:t>The Commission staff provides copies of the Code of Ethics of the Education Profession upon requests from any Alaskan.</w:t>
      </w:r>
    </w:p>
    <w:p w14:paraId="182D1222" w14:textId="77777777" w:rsidR="00953856" w:rsidRPr="008D074D" w:rsidRDefault="00953856" w:rsidP="00953856">
      <w:pPr>
        <w:pStyle w:val="Heading3"/>
      </w:pPr>
      <w:r w:rsidRPr="008D074D">
        <w:t>MANDATORY REPORTING (20 ACC 10.020 (b)(4))</w:t>
      </w:r>
    </w:p>
    <w:p w14:paraId="476F1549" w14:textId="148B50D4" w:rsidR="00953856" w:rsidRPr="005673C8" w:rsidRDefault="00953856" w:rsidP="005673C8">
      <w:pPr>
        <w:rPr>
          <w:b/>
          <w:sz w:val="24"/>
          <w:szCs w:val="24"/>
        </w:rPr>
      </w:pPr>
      <w:r w:rsidRPr="00E451D8">
        <w:rPr>
          <w:sz w:val="24"/>
          <w:szCs w:val="24"/>
        </w:rPr>
        <w:t xml:space="preserve">The Code of Ethics requires that knowledge of physical abuse of a student or sexual conduct with a student </w:t>
      </w:r>
      <w:r w:rsidRPr="00E451D8">
        <w:rPr>
          <w:sz w:val="24"/>
          <w:szCs w:val="24"/>
          <w:u w:val="single"/>
        </w:rPr>
        <w:t>by an educator</w:t>
      </w:r>
      <w:r w:rsidRPr="00E451D8">
        <w:rPr>
          <w:sz w:val="24"/>
          <w:szCs w:val="24"/>
        </w:rPr>
        <w:t xml:space="preserve"> must be reported to the Commission.</w:t>
      </w:r>
    </w:p>
    <w:p w14:paraId="0B907B3F" w14:textId="77777777" w:rsidR="00953856" w:rsidRPr="00224088" w:rsidRDefault="00953856" w:rsidP="00953856">
      <w:pPr>
        <w:pStyle w:val="Heading2"/>
        <w:spacing w:line="720" w:lineRule="auto"/>
      </w:pPr>
      <w:r>
        <w:rPr>
          <w:rStyle w:val="Heading2Char"/>
        </w:rPr>
        <w:lastRenderedPageBreak/>
        <w:t>YEAR BY YEAR COMPARISONS</w:t>
      </w:r>
    </w:p>
    <w:p w14:paraId="40D4DEAD" w14:textId="77777777" w:rsidR="00953856" w:rsidRDefault="00953856" w:rsidP="00953856">
      <w:pPr>
        <w:pStyle w:val="Heading3"/>
        <w:rPr>
          <w:b/>
          <w:bCs/>
          <w:i/>
          <w:iCs/>
          <w:sz w:val="28"/>
          <w:szCs w:val="28"/>
        </w:rPr>
      </w:pPr>
      <w:r w:rsidRPr="0015383D">
        <w:rPr>
          <w:rStyle w:val="Heading3Char"/>
        </w:rPr>
        <w:t>PTPC CASES INVESTIGATED BY YEAR</w:t>
      </w:r>
      <w:r w:rsidRPr="00D91366">
        <w:rPr>
          <w:rStyle w:val="Heading3Char"/>
        </w:rPr>
        <w:t xml:space="preserve"> </w:t>
      </w:r>
      <w:r>
        <w:rPr>
          <w:noProof/>
        </w:rPr>
        <w:drawing>
          <wp:inline distT="0" distB="0" distL="0" distR="0" wp14:anchorId="4F6EA14B" wp14:editId="3ED582E6">
            <wp:extent cx="7000875" cy="5095875"/>
            <wp:effectExtent l="0" t="0" r="0" b="0"/>
            <wp:docPr id="3" name="Chart 3" descr="Chart showing PTPC cases by year from 2008 to 2018. There was a high of 83 cases in 2015 and a low of 54 cases i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16F74EE" w14:textId="77777777" w:rsidR="00953856" w:rsidRDefault="00953856" w:rsidP="00953856">
      <w:pPr>
        <w:pStyle w:val="Heading3"/>
      </w:pPr>
      <w:r>
        <w:lastRenderedPageBreak/>
        <w:tab/>
      </w:r>
      <w:r w:rsidRPr="00510B19">
        <w:rPr>
          <w:noProof/>
        </w:rPr>
        <w:drawing>
          <wp:inline distT="0" distB="0" distL="0" distR="0" wp14:anchorId="2E7E327A" wp14:editId="291B4BF0">
            <wp:extent cx="6858000" cy="3943350"/>
            <wp:effectExtent l="0" t="0" r="0" b="0"/>
            <wp:docPr id="1" name="Chart 1" descr="Numbers of warnngs, reprimands, suspensions, revocations/surrenders in years FY 2015 -FY 2019" title="Sanctions Ordered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br w:type="page"/>
      </w:r>
    </w:p>
    <w:tbl>
      <w:tblPr>
        <w:tblStyle w:val="TableGrid"/>
        <w:tblpPr w:leftFromText="180" w:rightFromText="180" w:vertAnchor="page" w:horzAnchor="margin" w:tblpXSpec="center" w:tblpY="1471"/>
        <w:tblW w:w="9426" w:type="dxa"/>
        <w:tblLook w:val="0620" w:firstRow="1" w:lastRow="0" w:firstColumn="0" w:lastColumn="0" w:noHBand="1" w:noVBand="1"/>
        <w:tblCaption w:val="FY19 Financial Report"/>
        <w:tblDescription w:val="Budget autorized, disbursed, encumbered, balance for Personal services, Travel, Contractual services &amp; Commodities"/>
      </w:tblPr>
      <w:tblGrid>
        <w:gridCol w:w="1577"/>
        <w:gridCol w:w="1940"/>
        <w:gridCol w:w="1940"/>
        <w:gridCol w:w="1940"/>
        <w:gridCol w:w="2029"/>
      </w:tblGrid>
      <w:tr w:rsidR="00953856" w:rsidRPr="005771AE" w14:paraId="35AA86A1" w14:textId="77777777" w:rsidTr="002E7C84">
        <w:trPr>
          <w:trHeight w:val="850"/>
          <w:tblHeader/>
        </w:trPr>
        <w:tc>
          <w:tcPr>
            <w:tcW w:w="1577" w:type="dxa"/>
          </w:tcPr>
          <w:p w14:paraId="6BE59F62" w14:textId="77777777" w:rsidR="00953856" w:rsidRPr="002B6266" w:rsidRDefault="00953856" w:rsidP="00777884">
            <w:pPr>
              <w:tabs>
                <w:tab w:val="decimal" w:pos="1318"/>
              </w:tabs>
              <w:rPr>
                <w:b/>
                <w:color w:val="0D0D0D"/>
                <w:sz w:val="24"/>
                <w:szCs w:val="24"/>
              </w:rPr>
            </w:pPr>
          </w:p>
        </w:tc>
        <w:tc>
          <w:tcPr>
            <w:tcW w:w="1940" w:type="dxa"/>
          </w:tcPr>
          <w:p w14:paraId="63205308" w14:textId="77777777" w:rsidR="00953856" w:rsidRPr="002B6266" w:rsidRDefault="00953856" w:rsidP="00777884">
            <w:pPr>
              <w:widowControl w:val="0"/>
              <w:tabs>
                <w:tab w:val="decimal" w:pos="1318"/>
              </w:tabs>
              <w:jc w:val="center"/>
              <w:rPr>
                <w:b/>
                <w:color w:val="0D0D0D"/>
                <w:sz w:val="24"/>
                <w:szCs w:val="24"/>
              </w:rPr>
            </w:pPr>
            <w:r w:rsidRPr="002B6266">
              <w:rPr>
                <w:b/>
                <w:color w:val="0D0D0D"/>
                <w:sz w:val="24"/>
                <w:szCs w:val="24"/>
              </w:rPr>
              <w:t>Authorization</w:t>
            </w:r>
          </w:p>
        </w:tc>
        <w:tc>
          <w:tcPr>
            <w:tcW w:w="1940" w:type="dxa"/>
          </w:tcPr>
          <w:p w14:paraId="6A1E516A" w14:textId="77777777" w:rsidR="00953856" w:rsidRPr="002B6266" w:rsidRDefault="00953856" w:rsidP="00777884">
            <w:pPr>
              <w:widowControl w:val="0"/>
              <w:tabs>
                <w:tab w:val="decimal" w:pos="1318"/>
              </w:tabs>
              <w:jc w:val="center"/>
              <w:rPr>
                <w:b/>
                <w:color w:val="0D0D0D"/>
                <w:sz w:val="24"/>
                <w:szCs w:val="24"/>
              </w:rPr>
            </w:pPr>
            <w:r w:rsidRPr="002B6266">
              <w:rPr>
                <w:b/>
                <w:color w:val="0D0D0D"/>
                <w:sz w:val="24"/>
                <w:szCs w:val="24"/>
              </w:rPr>
              <w:t>Actual Disbursements</w:t>
            </w:r>
          </w:p>
        </w:tc>
        <w:tc>
          <w:tcPr>
            <w:tcW w:w="1940" w:type="dxa"/>
          </w:tcPr>
          <w:p w14:paraId="282644D9" w14:textId="77777777" w:rsidR="00953856" w:rsidRPr="002B6266" w:rsidRDefault="00953856" w:rsidP="00777884">
            <w:pPr>
              <w:widowControl w:val="0"/>
              <w:tabs>
                <w:tab w:val="decimal" w:pos="1318"/>
              </w:tabs>
              <w:jc w:val="center"/>
              <w:rPr>
                <w:b/>
                <w:color w:val="0D0D0D"/>
                <w:sz w:val="24"/>
                <w:szCs w:val="24"/>
              </w:rPr>
            </w:pPr>
            <w:r w:rsidRPr="002B6266">
              <w:rPr>
                <w:b/>
                <w:color w:val="0D0D0D"/>
                <w:sz w:val="24"/>
                <w:szCs w:val="24"/>
              </w:rPr>
              <w:t>Encumbrances</w:t>
            </w:r>
          </w:p>
        </w:tc>
        <w:tc>
          <w:tcPr>
            <w:tcW w:w="2029" w:type="dxa"/>
          </w:tcPr>
          <w:p w14:paraId="5F2BFD8A" w14:textId="77777777" w:rsidR="00953856" w:rsidRPr="002B6266" w:rsidRDefault="00953856" w:rsidP="00777884">
            <w:pPr>
              <w:widowControl w:val="0"/>
              <w:tabs>
                <w:tab w:val="decimal" w:pos="1318"/>
              </w:tabs>
              <w:jc w:val="center"/>
              <w:rPr>
                <w:b/>
                <w:color w:val="0D0D0D"/>
                <w:sz w:val="24"/>
                <w:szCs w:val="24"/>
              </w:rPr>
            </w:pPr>
            <w:r w:rsidRPr="002B6266">
              <w:rPr>
                <w:b/>
                <w:color w:val="0D0D0D"/>
                <w:sz w:val="24"/>
                <w:szCs w:val="24"/>
              </w:rPr>
              <w:t>Authorization Balance</w:t>
            </w:r>
          </w:p>
        </w:tc>
      </w:tr>
      <w:tr w:rsidR="00953856" w:rsidRPr="005771AE" w14:paraId="6352B717" w14:textId="77777777" w:rsidTr="002E7C84">
        <w:trPr>
          <w:trHeight w:val="850"/>
        </w:trPr>
        <w:tc>
          <w:tcPr>
            <w:tcW w:w="1577" w:type="dxa"/>
          </w:tcPr>
          <w:p w14:paraId="69FB8CC0" w14:textId="77777777" w:rsidR="00953856" w:rsidRPr="002B6266" w:rsidRDefault="00953856" w:rsidP="00777884">
            <w:pPr>
              <w:widowControl w:val="0"/>
              <w:tabs>
                <w:tab w:val="decimal" w:pos="1318"/>
              </w:tabs>
              <w:jc w:val="center"/>
              <w:rPr>
                <w:b/>
                <w:color w:val="0D0D0D"/>
                <w:sz w:val="24"/>
                <w:szCs w:val="24"/>
              </w:rPr>
            </w:pPr>
            <w:r w:rsidRPr="002B6266">
              <w:rPr>
                <w:b/>
                <w:color w:val="0D0D0D"/>
                <w:sz w:val="24"/>
                <w:szCs w:val="24"/>
              </w:rPr>
              <w:t>Personal Services</w:t>
            </w:r>
          </w:p>
        </w:tc>
        <w:tc>
          <w:tcPr>
            <w:tcW w:w="1940" w:type="dxa"/>
          </w:tcPr>
          <w:p w14:paraId="72539FC7" w14:textId="757987EB" w:rsidR="00953856" w:rsidRPr="009D2FC0" w:rsidRDefault="00953856" w:rsidP="00777884">
            <w:pPr>
              <w:widowControl w:val="0"/>
              <w:tabs>
                <w:tab w:val="decimal" w:pos="1318"/>
              </w:tabs>
              <w:rPr>
                <w:color w:val="0D0D0D"/>
                <w:sz w:val="24"/>
                <w:szCs w:val="24"/>
              </w:rPr>
            </w:pPr>
            <w:r w:rsidRPr="009D2FC0">
              <w:rPr>
                <w:color w:val="0D0D0D"/>
                <w:sz w:val="24"/>
                <w:szCs w:val="24"/>
              </w:rPr>
              <w:t>$</w:t>
            </w:r>
            <w:r>
              <w:rPr>
                <w:color w:val="0D0D0D"/>
                <w:sz w:val="24"/>
                <w:szCs w:val="24"/>
              </w:rPr>
              <w:t>15</w:t>
            </w:r>
            <w:r w:rsidR="00DC4E32">
              <w:rPr>
                <w:color w:val="0D0D0D"/>
                <w:sz w:val="24"/>
                <w:szCs w:val="24"/>
              </w:rPr>
              <w:t>9</w:t>
            </w:r>
            <w:r>
              <w:rPr>
                <w:color w:val="0D0D0D"/>
                <w:sz w:val="24"/>
                <w:szCs w:val="24"/>
              </w:rPr>
              <w:t>,</w:t>
            </w:r>
            <w:r w:rsidR="00DC4E32">
              <w:rPr>
                <w:color w:val="0D0D0D"/>
                <w:sz w:val="24"/>
                <w:szCs w:val="24"/>
              </w:rPr>
              <w:t>1</w:t>
            </w:r>
            <w:r w:rsidRPr="009D2FC0">
              <w:rPr>
                <w:color w:val="0D0D0D"/>
                <w:sz w:val="24"/>
                <w:szCs w:val="24"/>
              </w:rPr>
              <w:t>00.00</w:t>
            </w:r>
          </w:p>
        </w:tc>
        <w:tc>
          <w:tcPr>
            <w:tcW w:w="1940" w:type="dxa"/>
          </w:tcPr>
          <w:p w14:paraId="0D258311" w14:textId="03E5A094" w:rsidR="00953856" w:rsidRPr="00C97987" w:rsidRDefault="00953856" w:rsidP="00777884">
            <w:pPr>
              <w:widowControl w:val="0"/>
              <w:tabs>
                <w:tab w:val="decimal" w:pos="1318"/>
              </w:tabs>
              <w:jc w:val="both"/>
              <w:rPr>
                <w:color w:val="auto"/>
                <w:sz w:val="24"/>
                <w:szCs w:val="24"/>
              </w:rPr>
            </w:pPr>
            <w:r w:rsidRPr="00C97987">
              <w:rPr>
                <w:color w:val="auto"/>
                <w:sz w:val="24"/>
                <w:szCs w:val="24"/>
              </w:rPr>
              <w:t>$</w:t>
            </w:r>
            <w:r>
              <w:rPr>
                <w:color w:val="auto"/>
                <w:sz w:val="24"/>
                <w:szCs w:val="24"/>
              </w:rPr>
              <w:t>14</w:t>
            </w:r>
            <w:r w:rsidR="00DC4E32">
              <w:rPr>
                <w:color w:val="auto"/>
                <w:sz w:val="24"/>
                <w:szCs w:val="24"/>
              </w:rPr>
              <w:t>5</w:t>
            </w:r>
            <w:r>
              <w:rPr>
                <w:color w:val="auto"/>
                <w:sz w:val="24"/>
                <w:szCs w:val="24"/>
              </w:rPr>
              <w:t>,</w:t>
            </w:r>
            <w:r w:rsidR="00DC4E32">
              <w:rPr>
                <w:color w:val="auto"/>
                <w:sz w:val="24"/>
                <w:szCs w:val="24"/>
              </w:rPr>
              <w:t>080</w:t>
            </w:r>
            <w:r>
              <w:rPr>
                <w:color w:val="auto"/>
                <w:sz w:val="24"/>
                <w:szCs w:val="24"/>
              </w:rPr>
              <w:t>.</w:t>
            </w:r>
            <w:r w:rsidR="00DC4E32">
              <w:rPr>
                <w:color w:val="auto"/>
                <w:sz w:val="24"/>
                <w:szCs w:val="24"/>
              </w:rPr>
              <w:t>12</w:t>
            </w:r>
          </w:p>
        </w:tc>
        <w:tc>
          <w:tcPr>
            <w:tcW w:w="1940" w:type="dxa"/>
          </w:tcPr>
          <w:p w14:paraId="7321DAB2" w14:textId="77777777" w:rsidR="00953856" w:rsidRPr="00C97987" w:rsidRDefault="00953856" w:rsidP="00777884">
            <w:pPr>
              <w:widowControl w:val="0"/>
              <w:tabs>
                <w:tab w:val="decimal" w:pos="1318"/>
              </w:tabs>
              <w:jc w:val="center"/>
              <w:rPr>
                <w:color w:val="0D0D0D"/>
                <w:sz w:val="24"/>
                <w:szCs w:val="24"/>
              </w:rPr>
            </w:pPr>
            <w:r w:rsidRPr="00C97987">
              <w:rPr>
                <w:color w:val="0D0D0D"/>
                <w:sz w:val="24"/>
                <w:szCs w:val="24"/>
              </w:rPr>
              <w:t>$0.00</w:t>
            </w:r>
          </w:p>
        </w:tc>
        <w:tc>
          <w:tcPr>
            <w:tcW w:w="2029" w:type="dxa"/>
          </w:tcPr>
          <w:p w14:paraId="74CFCF5A" w14:textId="2753BCA2" w:rsidR="00953856" w:rsidRPr="00C97987" w:rsidRDefault="00953856" w:rsidP="00777884">
            <w:pPr>
              <w:widowControl w:val="0"/>
              <w:tabs>
                <w:tab w:val="decimal" w:pos="1512"/>
              </w:tabs>
              <w:rPr>
                <w:color w:val="auto"/>
                <w:sz w:val="24"/>
                <w:szCs w:val="24"/>
              </w:rPr>
            </w:pPr>
            <w:r>
              <w:rPr>
                <w:color w:val="auto"/>
                <w:sz w:val="24"/>
                <w:szCs w:val="24"/>
              </w:rPr>
              <w:t>$1</w:t>
            </w:r>
            <w:r w:rsidR="00DC4E32">
              <w:rPr>
                <w:color w:val="auto"/>
                <w:sz w:val="24"/>
                <w:szCs w:val="24"/>
              </w:rPr>
              <w:t>4</w:t>
            </w:r>
            <w:r>
              <w:rPr>
                <w:color w:val="auto"/>
                <w:sz w:val="24"/>
                <w:szCs w:val="24"/>
              </w:rPr>
              <w:t>,</w:t>
            </w:r>
            <w:r w:rsidR="00DC4E32">
              <w:rPr>
                <w:color w:val="auto"/>
                <w:sz w:val="24"/>
                <w:szCs w:val="24"/>
              </w:rPr>
              <w:t>019</w:t>
            </w:r>
            <w:r>
              <w:rPr>
                <w:color w:val="auto"/>
                <w:sz w:val="24"/>
                <w:szCs w:val="24"/>
              </w:rPr>
              <w:t>.</w:t>
            </w:r>
            <w:r w:rsidR="00DC4E32">
              <w:rPr>
                <w:color w:val="auto"/>
                <w:sz w:val="24"/>
                <w:szCs w:val="24"/>
              </w:rPr>
              <w:t>88</w:t>
            </w:r>
          </w:p>
        </w:tc>
      </w:tr>
      <w:tr w:rsidR="00953856" w:rsidRPr="005771AE" w14:paraId="1D5C71E4" w14:textId="77777777" w:rsidTr="002E7C84">
        <w:trPr>
          <w:trHeight w:val="850"/>
        </w:trPr>
        <w:tc>
          <w:tcPr>
            <w:tcW w:w="1577" w:type="dxa"/>
          </w:tcPr>
          <w:p w14:paraId="7746CFE2" w14:textId="77777777" w:rsidR="00953856" w:rsidRPr="002B6266" w:rsidRDefault="00953856" w:rsidP="00777884">
            <w:pPr>
              <w:widowControl w:val="0"/>
              <w:tabs>
                <w:tab w:val="decimal" w:pos="1318"/>
              </w:tabs>
              <w:rPr>
                <w:b/>
                <w:color w:val="0D0D0D"/>
                <w:sz w:val="24"/>
                <w:szCs w:val="24"/>
              </w:rPr>
            </w:pPr>
            <w:r w:rsidRPr="002B6266">
              <w:rPr>
                <w:b/>
                <w:color w:val="0D0D0D"/>
                <w:sz w:val="24"/>
                <w:szCs w:val="24"/>
              </w:rPr>
              <w:t xml:space="preserve">  Travel</w:t>
            </w:r>
          </w:p>
        </w:tc>
        <w:tc>
          <w:tcPr>
            <w:tcW w:w="1940" w:type="dxa"/>
          </w:tcPr>
          <w:p w14:paraId="72A20BD5" w14:textId="10DFCD11" w:rsidR="00953856" w:rsidRPr="009D2FC0" w:rsidRDefault="00953856" w:rsidP="00777884">
            <w:pPr>
              <w:widowControl w:val="0"/>
              <w:tabs>
                <w:tab w:val="decimal" w:pos="1318"/>
              </w:tabs>
              <w:rPr>
                <w:color w:val="0D0D0D"/>
                <w:sz w:val="24"/>
                <w:szCs w:val="24"/>
              </w:rPr>
            </w:pPr>
            <w:r w:rsidRPr="009D2FC0">
              <w:rPr>
                <w:color w:val="0D0D0D"/>
                <w:sz w:val="24"/>
                <w:szCs w:val="24"/>
              </w:rPr>
              <w:t>$1</w:t>
            </w:r>
            <w:r w:rsidR="00DC4E32">
              <w:rPr>
                <w:color w:val="0D0D0D"/>
                <w:sz w:val="24"/>
                <w:szCs w:val="24"/>
              </w:rPr>
              <w:t>2,0</w:t>
            </w:r>
            <w:r w:rsidRPr="009D2FC0">
              <w:rPr>
                <w:color w:val="0D0D0D"/>
                <w:sz w:val="24"/>
                <w:szCs w:val="24"/>
              </w:rPr>
              <w:t>00.00</w:t>
            </w:r>
          </w:p>
        </w:tc>
        <w:tc>
          <w:tcPr>
            <w:tcW w:w="1940" w:type="dxa"/>
          </w:tcPr>
          <w:p w14:paraId="4DACD899" w14:textId="160C6C3D" w:rsidR="00953856" w:rsidRPr="00C97987" w:rsidRDefault="00953856" w:rsidP="00777884">
            <w:pPr>
              <w:widowControl w:val="0"/>
              <w:tabs>
                <w:tab w:val="decimal" w:pos="1318"/>
              </w:tabs>
              <w:jc w:val="both"/>
              <w:rPr>
                <w:color w:val="auto"/>
                <w:sz w:val="24"/>
                <w:szCs w:val="24"/>
              </w:rPr>
            </w:pPr>
            <w:r w:rsidRPr="00C97987">
              <w:rPr>
                <w:color w:val="auto"/>
                <w:sz w:val="24"/>
                <w:szCs w:val="24"/>
              </w:rPr>
              <w:t>$</w:t>
            </w:r>
            <w:r w:rsidR="00DC4E32">
              <w:rPr>
                <w:color w:val="auto"/>
                <w:sz w:val="24"/>
                <w:szCs w:val="24"/>
              </w:rPr>
              <w:t>8,996</w:t>
            </w:r>
            <w:r>
              <w:rPr>
                <w:color w:val="auto"/>
                <w:sz w:val="24"/>
                <w:szCs w:val="24"/>
              </w:rPr>
              <w:t>.</w:t>
            </w:r>
            <w:r w:rsidR="00DC4E32">
              <w:rPr>
                <w:color w:val="auto"/>
                <w:sz w:val="24"/>
                <w:szCs w:val="24"/>
              </w:rPr>
              <w:t>81</w:t>
            </w:r>
          </w:p>
        </w:tc>
        <w:tc>
          <w:tcPr>
            <w:tcW w:w="1940" w:type="dxa"/>
          </w:tcPr>
          <w:p w14:paraId="7AFE46E9" w14:textId="32A633E7" w:rsidR="00953856" w:rsidRPr="00C97987" w:rsidRDefault="00953856" w:rsidP="00777884">
            <w:pPr>
              <w:widowControl w:val="0"/>
              <w:tabs>
                <w:tab w:val="decimal" w:pos="1318"/>
              </w:tabs>
              <w:jc w:val="center"/>
              <w:rPr>
                <w:color w:val="0D0D0D"/>
                <w:sz w:val="24"/>
                <w:szCs w:val="24"/>
              </w:rPr>
            </w:pPr>
            <w:r w:rsidRPr="00C97987">
              <w:rPr>
                <w:color w:val="0D0D0D"/>
                <w:sz w:val="24"/>
                <w:szCs w:val="24"/>
              </w:rPr>
              <w:t>$0.0</w:t>
            </w:r>
            <w:r w:rsidR="00DC4E32">
              <w:rPr>
                <w:color w:val="0D0D0D"/>
                <w:sz w:val="24"/>
                <w:szCs w:val="24"/>
              </w:rPr>
              <w:t>0</w:t>
            </w:r>
          </w:p>
        </w:tc>
        <w:tc>
          <w:tcPr>
            <w:tcW w:w="2029" w:type="dxa"/>
          </w:tcPr>
          <w:p w14:paraId="07F356FA" w14:textId="12E293B9" w:rsidR="00953856" w:rsidRPr="00C97987" w:rsidRDefault="00953856" w:rsidP="00777884">
            <w:pPr>
              <w:widowControl w:val="0"/>
              <w:tabs>
                <w:tab w:val="decimal" w:pos="1318"/>
              </w:tabs>
              <w:jc w:val="center"/>
              <w:rPr>
                <w:color w:val="auto"/>
                <w:sz w:val="24"/>
                <w:szCs w:val="24"/>
              </w:rPr>
            </w:pPr>
            <w:r>
              <w:rPr>
                <w:color w:val="auto"/>
                <w:sz w:val="24"/>
                <w:szCs w:val="24"/>
              </w:rPr>
              <w:t>$</w:t>
            </w:r>
            <w:r w:rsidR="00DC4E32">
              <w:rPr>
                <w:color w:val="auto"/>
                <w:sz w:val="24"/>
                <w:szCs w:val="24"/>
              </w:rPr>
              <w:t>3</w:t>
            </w:r>
            <w:r>
              <w:rPr>
                <w:color w:val="auto"/>
                <w:sz w:val="24"/>
                <w:szCs w:val="24"/>
              </w:rPr>
              <w:t>,</w:t>
            </w:r>
            <w:r w:rsidR="00DC4E32">
              <w:rPr>
                <w:color w:val="auto"/>
                <w:sz w:val="24"/>
                <w:szCs w:val="24"/>
              </w:rPr>
              <w:t>003</w:t>
            </w:r>
            <w:r>
              <w:rPr>
                <w:color w:val="auto"/>
                <w:sz w:val="24"/>
                <w:szCs w:val="24"/>
              </w:rPr>
              <w:t>.</w:t>
            </w:r>
            <w:r w:rsidR="00DC4E32">
              <w:rPr>
                <w:color w:val="auto"/>
                <w:sz w:val="24"/>
                <w:szCs w:val="24"/>
              </w:rPr>
              <w:t>19</w:t>
            </w:r>
          </w:p>
        </w:tc>
      </w:tr>
      <w:tr w:rsidR="00953856" w:rsidRPr="005771AE" w14:paraId="4A6DA553" w14:textId="77777777" w:rsidTr="002E7C84">
        <w:trPr>
          <w:trHeight w:val="948"/>
        </w:trPr>
        <w:tc>
          <w:tcPr>
            <w:tcW w:w="1577" w:type="dxa"/>
          </w:tcPr>
          <w:p w14:paraId="7E89ECB9" w14:textId="77777777" w:rsidR="00953856" w:rsidRPr="002B6266" w:rsidRDefault="00953856" w:rsidP="00777884">
            <w:pPr>
              <w:widowControl w:val="0"/>
              <w:tabs>
                <w:tab w:val="decimal" w:pos="1318"/>
              </w:tabs>
              <w:jc w:val="center"/>
              <w:rPr>
                <w:b/>
                <w:color w:val="0D0D0D"/>
                <w:sz w:val="24"/>
                <w:szCs w:val="24"/>
              </w:rPr>
            </w:pPr>
            <w:r w:rsidRPr="002B6266">
              <w:rPr>
                <w:b/>
                <w:color w:val="0D0D0D"/>
                <w:sz w:val="24"/>
                <w:szCs w:val="24"/>
              </w:rPr>
              <w:t>Contractual</w:t>
            </w:r>
          </w:p>
          <w:p w14:paraId="0C4B7E8E" w14:textId="77777777" w:rsidR="00953856" w:rsidRPr="002B6266" w:rsidRDefault="00953856" w:rsidP="00777884">
            <w:pPr>
              <w:widowControl w:val="0"/>
              <w:tabs>
                <w:tab w:val="decimal" w:pos="1318"/>
              </w:tabs>
              <w:jc w:val="center"/>
              <w:rPr>
                <w:b/>
                <w:color w:val="0D0D0D"/>
                <w:sz w:val="24"/>
                <w:szCs w:val="24"/>
              </w:rPr>
            </w:pPr>
            <w:r w:rsidRPr="002B6266">
              <w:rPr>
                <w:b/>
                <w:color w:val="0D0D0D"/>
                <w:sz w:val="24"/>
                <w:szCs w:val="24"/>
              </w:rPr>
              <w:t>Services</w:t>
            </w:r>
          </w:p>
        </w:tc>
        <w:tc>
          <w:tcPr>
            <w:tcW w:w="1940" w:type="dxa"/>
          </w:tcPr>
          <w:p w14:paraId="4742BF1D" w14:textId="050EE2A0" w:rsidR="00953856" w:rsidRPr="009D2FC0" w:rsidRDefault="00953856" w:rsidP="00777884">
            <w:pPr>
              <w:widowControl w:val="0"/>
              <w:tabs>
                <w:tab w:val="decimal" w:pos="1318"/>
              </w:tabs>
              <w:rPr>
                <w:color w:val="0D0D0D"/>
                <w:sz w:val="24"/>
                <w:szCs w:val="24"/>
              </w:rPr>
            </w:pPr>
            <w:r w:rsidRPr="009D2FC0">
              <w:rPr>
                <w:color w:val="0D0D0D"/>
                <w:sz w:val="24"/>
                <w:szCs w:val="24"/>
              </w:rPr>
              <w:t>$</w:t>
            </w:r>
            <w:r w:rsidR="00E5127D">
              <w:rPr>
                <w:color w:val="0D0D0D"/>
                <w:sz w:val="24"/>
                <w:szCs w:val="24"/>
              </w:rPr>
              <w:t>79</w:t>
            </w:r>
            <w:r>
              <w:rPr>
                <w:color w:val="0D0D0D"/>
                <w:sz w:val="24"/>
                <w:szCs w:val="24"/>
              </w:rPr>
              <w:t>,</w:t>
            </w:r>
            <w:r w:rsidR="00E5127D">
              <w:rPr>
                <w:color w:val="0D0D0D"/>
                <w:sz w:val="24"/>
                <w:szCs w:val="24"/>
              </w:rPr>
              <w:t>7</w:t>
            </w:r>
            <w:r w:rsidRPr="009D2FC0">
              <w:rPr>
                <w:color w:val="0D0D0D"/>
                <w:sz w:val="24"/>
                <w:szCs w:val="24"/>
              </w:rPr>
              <w:t>00.00</w:t>
            </w:r>
          </w:p>
        </w:tc>
        <w:tc>
          <w:tcPr>
            <w:tcW w:w="1940" w:type="dxa"/>
          </w:tcPr>
          <w:p w14:paraId="66AA97D8" w14:textId="2716EFD0" w:rsidR="00953856" w:rsidRPr="00C97987" w:rsidRDefault="00953856" w:rsidP="00777884">
            <w:pPr>
              <w:widowControl w:val="0"/>
              <w:tabs>
                <w:tab w:val="decimal" w:pos="1318"/>
              </w:tabs>
              <w:jc w:val="both"/>
              <w:rPr>
                <w:color w:val="auto"/>
                <w:sz w:val="24"/>
                <w:szCs w:val="24"/>
              </w:rPr>
            </w:pPr>
            <w:r>
              <w:rPr>
                <w:color w:val="auto"/>
                <w:sz w:val="24"/>
                <w:szCs w:val="24"/>
              </w:rPr>
              <w:t>$</w:t>
            </w:r>
            <w:r w:rsidR="00E5127D">
              <w:rPr>
                <w:color w:val="auto"/>
                <w:sz w:val="24"/>
                <w:szCs w:val="24"/>
              </w:rPr>
              <w:t>5</w:t>
            </w:r>
            <w:r>
              <w:rPr>
                <w:color w:val="auto"/>
                <w:sz w:val="24"/>
                <w:szCs w:val="24"/>
              </w:rPr>
              <w:t>6,</w:t>
            </w:r>
            <w:r w:rsidR="00E5127D">
              <w:rPr>
                <w:color w:val="auto"/>
                <w:sz w:val="24"/>
                <w:szCs w:val="24"/>
              </w:rPr>
              <w:t>947</w:t>
            </w:r>
            <w:r>
              <w:rPr>
                <w:color w:val="auto"/>
                <w:sz w:val="24"/>
                <w:szCs w:val="24"/>
              </w:rPr>
              <w:t>.</w:t>
            </w:r>
            <w:r w:rsidR="00E5127D">
              <w:rPr>
                <w:color w:val="auto"/>
                <w:sz w:val="24"/>
                <w:szCs w:val="24"/>
              </w:rPr>
              <w:t>1</w:t>
            </w:r>
            <w:r>
              <w:rPr>
                <w:color w:val="auto"/>
                <w:sz w:val="24"/>
                <w:szCs w:val="24"/>
              </w:rPr>
              <w:t>8</w:t>
            </w:r>
          </w:p>
        </w:tc>
        <w:tc>
          <w:tcPr>
            <w:tcW w:w="1940" w:type="dxa"/>
          </w:tcPr>
          <w:p w14:paraId="39903148" w14:textId="10AE6C93" w:rsidR="00953856" w:rsidRPr="00C97987" w:rsidRDefault="00953856" w:rsidP="00777884">
            <w:pPr>
              <w:widowControl w:val="0"/>
              <w:tabs>
                <w:tab w:val="decimal" w:pos="1318"/>
              </w:tabs>
              <w:jc w:val="center"/>
              <w:rPr>
                <w:color w:val="0D0D0D"/>
                <w:sz w:val="24"/>
                <w:szCs w:val="24"/>
              </w:rPr>
            </w:pPr>
            <w:r w:rsidRPr="00C97987">
              <w:rPr>
                <w:color w:val="auto"/>
                <w:sz w:val="24"/>
                <w:szCs w:val="24"/>
              </w:rPr>
              <w:t>$</w:t>
            </w:r>
            <w:r w:rsidR="00E5127D">
              <w:rPr>
                <w:color w:val="auto"/>
                <w:sz w:val="24"/>
                <w:szCs w:val="24"/>
              </w:rPr>
              <w:t>0.00</w:t>
            </w:r>
          </w:p>
        </w:tc>
        <w:tc>
          <w:tcPr>
            <w:tcW w:w="2029" w:type="dxa"/>
          </w:tcPr>
          <w:p w14:paraId="6BBF5BA3" w14:textId="0CD98168" w:rsidR="00953856" w:rsidRPr="00C97987" w:rsidRDefault="00953856" w:rsidP="00777884">
            <w:pPr>
              <w:widowControl w:val="0"/>
              <w:tabs>
                <w:tab w:val="decimal" w:pos="1318"/>
              </w:tabs>
              <w:jc w:val="center"/>
              <w:rPr>
                <w:color w:val="auto"/>
                <w:sz w:val="24"/>
                <w:szCs w:val="24"/>
              </w:rPr>
            </w:pPr>
            <w:r>
              <w:rPr>
                <w:color w:val="auto"/>
                <w:sz w:val="24"/>
                <w:szCs w:val="24"/>
              </w:rPr>
              <w:t>$</w:t>
            </w:r>
            <w:r w:rsidR="00E5127D">
              <w:rPr>
                <w:color w:val="auto"/>
                <w:sz w:val="24"/>
                <w:szCs w:val="24"/>
              </w:rPr>
              <w:t>22,754</w:t>
            </w:r>
            <w:r>
              <w:rPr>
                <w:color w:val="auto"/>
                <w:sz w:val="24"/>
                <w:szCs w:val="24"/>
              </w:rPr>
              <w:t>.</w:t>
            </w:r>
            <w:r w:rsidR="00E5127D">
              <w:rPr>
                <w:color w:val="auto"/>
                <w:sz w:val="24"/>
                <w:szCs w:val="24"/>
              </w:rPr>
              <w:t>11</w:t>
            </w:r>
          </w:p>
          <w:p w14:paraId="272B7D2B" w14:textId="77777777" w:rsidR="00953856" w:rsidRPr="00C97987" w:rsidRDefault="00953856" w:rsidP="00777884">
            <w:pPr>
              <w:widowControl w:val="0"/>
              <w:tabs>
                <w:tab w:val="decimal" w:pos="1318"/>
              </w:tabs>
              <w:jc w:val="center"/>
              <w:rPr>
                <w:color w:val="auto"/>
                <w:sz w:val="24"/>
                <w:szCs w:val="24"/>
              </w:rPr>
            </w:pPr>
          </w:p>
        </w:tc>
      </w:tr>
      <w:tr w:rsidR="00953856" w:rsidRPr="005771AE" w14:paraId="416438C6" w14:textId="77777777" w:rsidTr="002E7C84">
        <w:trPr>
          <w:trHeight w:val="850"/>
        </w:trPr>
        <w:tc>
          <w:tcPr>
            <w:tcW w:w="1577" w:type="dxa"/>
          </w:tcPr>
          <w:p w14:paraId="6B6C3EA9" w14:textId="77777777" w:rsidR="00953856" w:rsidRPr="002B6266" w:rsidRDefault="00953856" w:rsidP="00777884">
            <w:pPr>
              <w:widowControl w:val="0"/>
              <w:tabs>
                <w:tab w:val="decimal" w:pos="1318"/>
              </w:tabs>
              <w:jc w:val="center"/>
              <w:rPr>
                <w:b/>
                <w:color w:val="0D0D0D"/>
                <w:sz w:val="24"/>
                <w:szCs w:val="24"/>
              </w:rPr>
            </w:pPr>
            <w:r w:rsidRPr="002B6266">
              <w:rPr>
                <w:b/>
                <w:color w:val="0D0D0D"/>
                <w:sz w:val="24"/>
                <w:szCs w:val="24"/>
              </w:rPr>
              <w:t>Commodities</w:t>
            </w:r>
          </w:p>
        </w:tc>
        <w:tc>
          <w:tcPr>
            <w:tcW w:w="1940" w:type="dxa"/>
          </w:tcPr>
          <w:p w14:paraId="32ACCD9C" w14:textId="77777777" w:rsidR="00953856" w:rsidRPr="009D2FC0" w:rsidRDefault="00953856" w:rsidP="00777884">
            <w:pPr>
              <w:widowControl w:val="0"/>
              <w:tabs>
                <w:tab w:val="decimal" w:pos="1318"/>
              </w:tabs>
              <w:rPr>
                <w:color w:val="0D0D0D"/>
                <w:sz w:val="24"/>
                <w:szCs w:val="24"/>
              </w:rPr>
            </w:pPr>
            <w:r w:rsidRPr="009D2FC0">
              <w:rPr>
                <w:color w:val="0D0D0D"/>
                <w:sz w:val="24"/>
                <w:szCs w:val="24"/>
              </w:rPr>
              <w:t>$2,600.00</w:t>
            </w:r>
          </w:p>
        </w:tc>
        <w:tc>
          <w:tcPr>
            <w:tcW w:w="1940" w:type="dxa"/>
          </w:tcPr>
          <w:p w14:paraId="2A58A906" w14:textId="4C9F9D41" w:rsidR="00953856" w:rsidRPr="00C97987" w:rsidRDefault="00953856" w:rsidP="00777884">
            <w:pPr>
              <w:widowControl w:val="0"/>
              <w:tabs>
                <w:tab w:val="decimal" w:pos="1318"/>
              </w:tabs>
              <w:jc w:val="both"/>
              <w:rPr>
                <w:color w:val="auto"/>
                <w:sz w:val="24"/>
                <w:szCs w:val="24"/>
              </w:rPr>
            </w:pPr>
            <w:r w:rsidRPr="00C97987">
              <w:rPr>
                <w:color w:val="auto"/>
                <w:sz w:val="24"/>
                <w:szCs w:val="24"/>
              </w:rPr>
              <w:t>$</w:t>
            </w:r>
            <w:r w:rsidR="00E5127D">
              <w:rPr>
                <w:color w:val="auto"/>
                <w:sz w:val="24"/>
                <w:szCs w:val="24"/>
              </w:rPr>
              <w:t>606</w:t>
            </w:r>
            <w:r>
              <w:rPr>
                <w:color w:val="auto"/>
                <w:sz w:val="24"/>
                <w:szCs w:val="24"/>
              </w:rPr>
              <w:t>.</w:t>
            </w:r>
            <w:r w:rsidR="00E5127D">
              <w:rPr>
                <w:color w:val="auto"/>
                <w:sz w:val="24"/>
                <w:szCs w:val="24"/>
              </w:rPr>
              <w:t>45</w:t>
            </w:r>
          </w:p>
        </w:tc>
        <w:tc>
          <w:tcPr>
            <w:tcW w:w="1940" w:type="dxa"/>
          </w:tcPr>
          <w:p w14:paraId="26590C5F" w14:textId="77777777" w:rsidR="00953856" w:rsidRPr="00C97987" w:rsidRDefault="00953856" w:rsidP="00777884">
            <w:pPr>
              <w:widowControl w:val="0"/>
              <w:tabs>
                <w:tab w:val="decimal" w:pos="1318"/>
              </w:tabs>
              <w:jc w:val="center"/>
              <w:rPr>
                <w:color w:val="0D0D0D"/>
                <w:sz w:val="24"/>
                <w:szCs w:val="24"/>
              </w:rPr>
            </w:pPr>
            <w:r w:rsidRPr="00C97987">
              <w:rPr>
                <w:color w:val="0D0D0D"/>
                <w:sz w:val="24"/>
                <w:szCs w:val="24"/>
              </w:rPr>
              <w:t>$0.00</w:t>
            </w:r>
          </w:p>
        </w:tc>
        <w:tc>
          <w:tcPr>
            <w:tcW w:w="2029" w:type="dxa"/>
          </w:tcPr>
          <w:p w14:paraId="413C4D09" w14:textId="5C25AC08" w:rsidR="00953856" w:rsidRPr="00C97987" w:rsidRDefault="00953856" w:rsidP="00777884">
            <w:pPr>
              <w:widowControl w:val="0"/>
              <w:tabs>
                <w:tab w:val="decimal" w:pos="1318"/>
              </w:tabs>
              <w:jc w:val="center"/>
              <w:rPr>
                <w:color w:val="auto"/>
                <w:sz w:val="24"/>
                <w:szCs w:val="24"/>
              </w:rPr>
            </w:pPr>
            <w:r w:rsidRPr="00C97987">
              <w:rPr>
                <w:color w:val="auto"/>
                <w:sz w:val="24"/>
                <w:szCs w:val="24"/>
              </w:rPr>
              <w:t>$</w:t>
            </w:r>
            <w:r w:rsidR="00E5127D">
              <w:rPr>
                <w:color w:val="auto"/>
                <w:sz w:val="24"/>
                <w:szCs w:val="24"/>
              </w:rPr>
              <w:t>1</w:t>
            </w:r>
            <w:r>
              <w:rPr>
                <w:color w:val="auto"/>
                <w:sz w:val="24"/>
                <w:szCs w:val="24"/>
              </w:rPr>
              <w:t>,</w:t>
            </w:r>
            <w:r w:rsidR="00E5127D">
              <w:rPr>
                <w:color w:val="auto"/>
                <w:sz w:val="24"/>
                <w:szCs w:val="24"/>
              </w:rPr>
              <w:t>993</w:t>
            </w:r>
            <w:r>
              <w:rPr>
                <w:color w:val="auto"/>
                <w:sz w:val="24"/>
                <w:szCs w:val="24"/>
              </w:rPr>
              <w:t>.</w:t>
            </w:r>
            <w:r w:rsidR="00E5127D">
              <w:rPr>
                <w:color w:val="auto"/>
                <w:sz w:val="24"/>
                <w:szCs w:val="24"/>
              </w:rPr>
              <w:t>55</w:t>
            </w:r>
          </w:p>
        </w:tc>
      </w:tr>
      <w:tr w:rsidR="00953856" w:rsidRPr="005771AE" w14:paraId="6DB0F115" w14:textId="77777777" w:rsidTr="002E7C84">
        <w:trPr>
          <w:trHeight w:val="850"/>
        </w:trPr>
        <w:tc>
          <w:tcPr>
            <w:tcW w:w="1577" w:type="dxa"/>
          </w:tcPr>
          <w:p w14:paraId="3CE2C9FD" w14:textId="77777777" w:rsidR="00953856" w:rsidRPr="002B6266" w:rsidRDefault="00953856" w:rsidP="00777884">
            <w:pPr>
              <w:widowControl w:val="0"/>
              <w:tabs>
                <w:tab w:val="decimal" w:pos="1318"/>
              </w:tabs>
              <w:rPr>
                <w:b/>
                <w:color w:val="0D0D0D"/>
                <w:sz w:val="24"/>
                <w:szCs w:val="24"/>
              </w:rPr>
            </w:pPr>
            <w:r w:rsidRPr="002B6266">
              <w:rPr>
                <w:b/>
                <w:color w:val="0D0D0D"/>
                <w:sz w:val="24"/>
                <w:szCs w:val="24"/>
              </w:rPr>
              <w:t xml:space="preserve">  Totals</w:t>
            </w:r>
          </w:p>
        </w:tc>
        <w:tc>
          <w:tcPr>
            <w:tcW w:w="1940" w:type="dxa"/>
          </w:tcPr>
          <w:p w14:paraId="636BC261" w14:textId="252DAB90" w:rsidR="00953856" w:rsidRPr="005A09AF" w:rsidRDefault="00953856" w:rsidP="00777884">
            <w:pPr>
              <w:widowControl w:val="0"/>
              <w:tabs>
                <w:tab w:val="decimal" w:pos="1318"/>
              </w:tabs>
              <w:rPr>
                <w:b/>
                <w:color w:val="0D0D0D"/>
                <w:sz w:val="24"/>
                <w:szCs w:val="24"/>
              </w:rPr>
            </w:pPr>
            <w:r w:rsidRPr="005A09AF">
              <w:rPr>
                <w:b/>
                <w:color w:val="0D0D0D"/>
                <w:sz w:val="24"/>
                <w:szCs w:val="24"/>
              </w:rPr>
              <w:t>$25</w:t>
            </w:r>
            <w:r w:rsidR="00E5127D">
              <w:rPr>
                <w:b/>
                <w:color w:val="0D0D0D"/>
                <w:sz w:val="24"/>
                <w:szCs w:val="24"/>
              </w:rPr>
              <w:t>3</w:t>
            </w:r>
            <w:r w:rsidRPr="005A09AF">
              <w:rPr>
                <w:b/>
                <w:color w:val="0D0D0D"/>
                <w:sz w:val="24"/>
                <w:szCs w:val="24"/>
              </w:rPr>
              <w:t>,</w:t>
            </w:r>
            <w:r w:rsidR="00E5127D">
              <w:rPr>
                <w:b/>
                <w:color w:val="0D0D0D"/>
                <w:sz w:val="24"/>
                <w:szCs w:val="24"/>
              </w:rPr>
              <w:t>4</w:t>
            </w:r>
            <w:r w:rsidRPr="005A09AF">
              <w:rPr>
                <w:b/>
                <w:color w:val="0D0D0D"/>
                <w:sz w:val="24"/>
                <w:szCs w:val="24"/>
              </w:rPr>
              <w:t>00.00</w:t>
            </w:r>
          </w:p>
        </w:tc>
        <w:tc>
          <w:tcPr>
            <w:tcW w:w="1940" w:type="dxa"/>
          </w:tcPr>
          <w:p w14:paraId="380CEA6A" w14:textId="7FD4406E" w:rsidR="00953856" w:rsidRPr="005A09AF" w:rsidRDefault="00953856" w:rsidP="00777884">
            <w:pPr>
              <w:widowControl w:val="0"/>
              <w:tabs>
                <w:tab w:val="decimal" w:pos="1318"/>
              </w:tabs>
              <w:jc w:val="both"/>
              <w:rPr>
                <w:b/>
                <w:color w:val="auto"/>
                <w:sz w:val="24"/>
                <w:szCs w:val="24"/>
              </w:rPr>
            </w:pPr>
            <w:r w:rsidRPr="005A09AF">
              <w:rPr>
                <w:b/>
                <w:color w:val="auto"/>
                <w:sz w:val="24"/>
                <w:szCs w:val="24"/>
              </w:rPr>
              <w:t xml:space="preserve">  $</w:t>
            </w:r>
            <w:r w:rsidR="00E5127D">
              <w:rPr>
                <w:b/>
                <w:color w:val="auto"/>
                <w:sz w:val="24"/>
                <w:szCs w:val="24"/>
              </w:rPr>
              <w:t>211</w:t>
            </w:r>
            <w:r w:rsidRPr="005A09AF">
              <w:rPr>
                <w:b/>
                <w:color w:val="auto"/>
                <w:sz w:val="24"/>
                <w:szCs w:val="24"/>
              </w:rPr>
              <w:t>,6</w:t>
            </w:r>
            <w:r w:rsidR="00E5127D">
              <w:rPr>
                <w:b/>
                <w:color w:val="auto"/>
                <w:sz w:val="24"/>
                <w:szCs w:val="24"/>
              </w:rPr>
              <w:t>30</w:t>
            </w:r>
            <w:r w:rsidRPr="005A09AF">
              <w:rPr>
                <w:b/>
                <w:color w:val="auto"/>
                <w:sz w:val="24"/>
                <w:szCs w:val="24"/>
              </w:rPr>
              <w:t>.5</w:t>
            </w:r>
            <w:r w:rsidR="00E5127D">
              <w:rPr>
                <w:b/>
                <w:color w:val="auto"/>
                <w:sz w:val="24"/>
                <w:szCs w:val="24"/>
              </w:rPr>
              <w:t>6</w:t>
            </w:r>
          </w:p>
        </w:tc>
        <w:tc>
          <w:tcPr>
            <w:tcW w:w="1940" w:type="dxa"/>
          </w:tcPr>
          <w:p w14:paraId="6289C2EA" w14:textId="645792FE" w:rsidR="00953856" w:rsidRPr="005A09AF" w:rsidRDefault="00953856" w:rsidP="00777884">
            <w:pPr>
              <w:widowControl w:val="0"/>
              <w:tabs>
                <w:tab w:val="decimal" w:pos="1318"/>
              </w:tabs>
              <w:jc w:val="center"/>
              <w:rPr>
                <w:b/>
                <w:color w:val="0D0D0D"/>
                <w:sz w:val="24"/>
                <w:szCs w:val="24"/>
              </w:rPr>
            </w:pPr>
            <w:r w:rsidRPr="005A09AF">
              <w:rPr>
                <w:b/>
                <w:color w:val="0D0D0D"/>
                <w:sz w:val="24"/>
                <w:szCs w:val="24"/>
              </w:rPr>
              <w:t>$</w:t>
            </w:r>
            <w:r w:rsidR="00E5127D">
              <w:rPr>
                <w:b/>
                <w:color w:val="0D0D0D"/>
                <w:sz w:val="24"/>
                <w:szCs w:val="24"/>
              </w:rPr>
              <w:t>0.00</w:t>
            </w:r>
          </w:p>
        </w:tc>
        <w:tc>
          <w:tcPr>
            <w:tcW w:w="2029" w:type="dxa"/>
          </w:tcPr>
          <w:p w14:paraId="5A07861D" w14:textId="57CA5050" w:rsidR="00953856" w:rsidRPr="00C97987" w:rsidRDefault="00953856" w:rsidP="00777884">
            <w:pPr>
              <w:widowControl w:val="0"/>
              <w:tabs>
                <w:tab w:val="decimal" w:pos="1318"/>
              </w:tabs>
              <w:jc w:val="center"/>
              <w:rPr>
                <w:b/>
                <w:color w:val="auto"/>
                <w:sz w:val="24"/>
                <w:szCs w:val="24"/>
              </w:rPr>
            </w:pPr>
            <w:r>
              <w:rPr>
                <w:b/>
                <w:color w:val="auto"/>
                <w:sz w:val="24"/>
                <w:szCs w:val="24"/>
              </w:rPr>
              <w:t>$</w:t>
            </w:r>
            <w:r w:rsidR="00E5127D">
              <w:rPr>
                <w:b/>
                <w:color w:val="auto"/>
                <w:sz w:val="24"/>
                <w:szCs w:val="24"/>
              </w:rPr>
              <w:t>41</w:t>
            </w:r>
            <w:r>
              <w:rPr>
                <w:b/>
                <w:color w:val="auto"/>
                <w:sz w:val="24"/>
                <w:szCs w:val="24"/>
              </w:rPr>
              <w:t>,</w:t>
            </w:r>
            <w:r w:rsidR="00E5127D">
              <w:rPr>
                <w:b/>
                <w:color w:val="auto"/>
                <w:sz w:val="24"/>
                <w:szCs w:val="24"/>
              </w:rPr>
              <w:t>769.44</w:t>
            </w:r>
          </w:p>
        </w:tc>
      </w:tr>
    </w:tbl>
    <w:p w14:paraId="381D97B5" w14:textId="72C99979" w:rsidR="00953856" w:rsidRDefault="00953856" w:rsidP="00953856">
      <w:pPr>
        <w:pStyle w:val="Heading2"/>
        <w:spacing w:before="0" w:after="480" w:line="480" w:lineRule="auto"/>
        <w:rPr>
          <w:kern w:val="0"/>
          <w:sz w:val="22"/>
          <w:szCs w:val="22"/>
          <w:u w:val="single"/>
        </w:rPr>
      </w:pPr>
      <w:r w:rsidRPr="0039218D">
        <w:rPr>
          <w:rFonts w:ascii="Times New Roman" w:hAnsi="Times New Roman" w:cs="Times New Roman"/>
          <w:b/>
          <w:sz w:val="28"/>
          <w:szCs w:val="28"/>
        </w:rPr>
        <w:t>FY20</w:t>
      </w:r>
      <w:r>
        <w:rPr>
          <w:rFonts w:ascii="Times New Roman" w:hAnsi="Times New Roman" w:cs="Times New Roman"/>
          <w:b/>
          <w:sz w:val="28"/>
          <w:szCs w:val="28"/>
        </w:rPr>
        <w:t>20</w:t>
      </w:r>
      <w:r w:rsidRPr="0039218D">
        <w:rPr>
          <w:rFonts w:ascii="Times New Roman" w:hAnsi="Times New Roman" w:cs="Times New Roman"/>
          <w:b/>
          <w:sz w:val="28"/>
          <w:szCs w:val="28"/>
        </w:rPr>
        <w:t xml:space="preserve"> Financial Report </w:t>
      </w:r>
      <w:r w:rsidRPr="0039218D">
        <w:rPr>
          <w:rFonts w:ascii="Times New Roman" w:hAnsi="Times New Roman" w:cs="Times New Roman"/>
          <w:b/>
          <w:sz w:val="28"/>
          <w:szCs w:val="28"/>
        </w:rPr>
        <w:tab/>
        <w:t>(July 1, 201</w:t>
      </w:r>
      <w:r>
        <w:rPr>
          <w:rFonts w:ascii="Times New Roman" w:hAnsi="Times New Roman" w:cs="Times New Roman"/>
          <w:b/>
          <w:sz w:val="28"/>
          <w:szCs w:val="28"/>
        </w:rPr>
        <w:t>9</w:t>
      </w:r>
      <w:r w:rsidRPr="0039218D">
        <w:rPr>
          <w:rFonts w:ascii="Times New Roman" w:hAnsi="Times New Roman" w:cs="Times New Roman"/>
          <w:b/>
          <w:sz w:val="28"/>
          <w:szCs w:val="28"/>
        </w:rPr>
        <w:t xml:space="preserve"> –June 30, 20</w:t>
      </w:r>
      <w:r>
        <w:rPr>
          <w:rFonts w:ascii="Times New Roman" w:hAnsi="Times New Roman" w:cs="Times New Roman"/>
          <w:b/>
          <w:sz w:val="28"/>
          <w:szCs w:val="28"/>
        </w:rPr>
        <w:t>20</w:t>
      </w:r>
      <w:r w:rsidRPr="0039218D">
        <w:rPr>
          <w:rFonts w:ascii="Times New Roman" w:hAnsi="Times New Roman" w:cs="Times New Roman"/>
          <w:b/>
          <w:sz w:val="28"/>
          <w:szCs w:val="28"/>
        </w:rPr>
        <w:t>)</w:t>
      </w:r>
      <w:r>
        <w:rPr>
          <w:kern w:val="0"/>
          <w:sz w:val="22"/>
          <w:szCs w:val="22"/>
          <w:u w:val="single"/>
        </w:rPr>
        <w:t xml:space="preserve"> </w:t>
      </w:r>
    </w:p>
    <w:p w14:paraId="6251D5F1" w14:textId="77777777" w:rsidR="00953856" w:rsidRPr="006318A7" w:rsidRDefault="00953856" w:rsidP="00953856">
      <w:pPr>
        <w:spacing w:before="480"/>
        <w:ind w:left="720"/>
        <w:rPr>
          <w:color w:val="auto"/>
          <w:kern w:val="0"/>
          <w:sz w:val="22"/>
          <w:szCs w:val="22"/>
        </w:rPr>
      </w:pPr>
      <w:r w:rsidRPr="006318A7">
        <w:rPr>
          <w:color w:val="auto"/>
          <w:kern w:val="0"/>
          <w:sz w:val="22"/>
          <w:szCs w:val="22"/>
          <w:u w:val="single"/>
        </w:rPr>
        <w:t>Personal Services</w:t>
      </w:r>
      <w:r w:rsidRPr="006318A7">
        <w:rPr>
          <w:color w:val="auto"/>
          <w:kern w:val="0"/>
          <w:sz w:val="22"/>
          <w:szCs w:val="22"/>
        </w:rPr>
        <w:t>:  Salaries</w:t>
      </w:r>
      <w:r>
        <w:rPr>
          <w:color w:val="auto"/>
          <w:kern w:val="0"/>
          <w:sz w:val="22"/>
          <w:szCs w:val="22"/>
        </w:rPr>
        <w:t xml:space="preserve"> (including benefits)</w:t>
      </w:r>
    </w:p>
    <w:p w14:paraId="78895A8F" w14:textId="77777777" w:rsidR="00953856" w:rsidRPr="006318A7" w:rsidRDefault="00953856" w:rsidP="00953856">
      <w:pPr>
        <w:spacing w:before="240"/>
        <w:ind w:left="720"/>
        <w:rPr>
          <w:color w:val="auto"/>
          <w:kern w:val="0"/>
          <w:sz w:val="22"/>
          <w:szCs w:val="22"/>
        </w:rPr>
      </w:pPr>
      <w:r w:rsidRPr="006318A7">
        <w:rPr>
          <w:color w:val="auto"/>
          <w:kern w:val="0"/>
          <w:sz w:val="22"/>
          <w:szCs w:val="22"/>
          <w:u w:val="single"/>
        </w:rPr>
        <w:t>Travel</w:t>
      </w:r>
      <w:r w:rsidRPr="006318A7">
        <w:rPr>
          <w:color w:val="auto"/>
          <w:kern w:val="0"/>
          <w:sz w:val="22"/>
          <w:szCs w:val="22"/>
        </w:rPr>
        <w:t>:  Executive Director, Commissioners</w:t>
      </w:r>
    </w:p>
    <w:p w14:paraId="48642240" w14:textId="77777777" w:rsidR="00953856" w:rsidRPr="006318A7" w:rsidRDefault="00953856" w:rsidP="00953856">
      <w:pPr>
        <w:numPr>
          <w:ilvl w:val="0"/>
          <w:numId w:val="2"/>
        </w:numPr>
        <w:ind w:firstLine="0"/>
        <w:rPr>
          <w:color w:val="auto"/>
          <w:kern w:val="0"/>
          <w:sz w:val="22"/>
          <w:szCs w:val="22"/>
        </w:rPr>
      </w:pPr>
      <w:r w:rsidRPr="006318A7">
        <w:rPr>
          <w:color w:val="auto"/>
          <w:kern w:val="0"/>
          <w:sz w:val="22"/>
          <w:szCs w:val="22"/>
        </w:rPr>
        <w:t>Conferences</w:t>
      </w:r>
    </w:p>
    <w:p w14:paraId="4482C64B" w14:textId="77777777" w:rsidR="00953856" w:rsidRPr="006318A7" w:rsidRDefault="00953856" w:rsidP="00953856">
      <w:pPr>
        <w:numPr>
          <w:ilvl w:val="0"/>
          <w:numId w:val="2"/>
        </w:numPr>
        <w:ind w:firstLine="0"/>
        <w:rPr>
          <w:color w:val="auto"/>
          <w:kern w:val="0"/>
          <w:sz w:val="22"/>
          <w:szCs w:val="22"/>
        </w:rPr>
      </w:pPr>
      <w:r w:rsidRPr="006318A7">
        <w:rPr>
          <w:color w:val="auto"/>
          <w:kern w:val="0"/>
          <w:sz w:val="22"/>
          <w:szCs w:val="22"/>
        </w:rPr>
        <w:t>Commission Meetings</w:t>
      </w:r>
    </w:p>
    <w:p w14:paraId="67FE0B4D" w14:textId="77777777" w:rsidR="00953856" w:rsidRPr="006318A7" w:rsidRDefault="00953856" w:rsidP="00953856">
      <w:pPr>
        <w:numPr>
          <w:ilvl w:val="0"/>
          <w:numId w:val="2"/>
        </w:numPr>
        <w:ind w:firstLine="0"/>
        <w:rPr>
          <w:color w:val="auto"/>
          <w:kern w:val="0"/>
          <w:sz w:val="22"/>
          <w:szCs w:val="22"/>
        </w:rPr>
      </w:pPr>
      <w:r w:rsidRPr="006318A7">
        <w:rPr>
          <w:color w:val="auto"/>
          <w:kern w:val="0"/>
          <w:sz w:val="22"/>
          <w:szCs w:val="22"/>
        </w:rPr>
        <w:t>Presentations</w:t>
      </w:r>
    </w:p>
    <w:p w14:paraId="180483EF" w14:textId="77777777" w:rsidR="00953856" w:rsidRPr="006318A7" w:rsidRDefault="00953856" w:rsidP="00953856">
      <w:pPr>
        <w:numPr>
          <w:ilvl w:val="0"/>
          <w:numId w:val="2"/>
        </w:numPr>
        <w:ind w:firstLine="0"/>
        <w:rPr>
          <w:color w:val="auto"/>
          <w:kern w:val="0"/>
          <w:sz w:val="22"/>
          <w:szCs w:val="22"/>
        </w:rPr>
      </w:pPr>
      <w:r w:rsidRPr="006318A7">
        <w:rPr>
          <w:color w:val="auto"/>
          <w:kern w:val="0"/>
          <w:sz w:val="22"/>
          <w:szCs w:val="22"/>
        </w:rPr>
        <w:t>Investigations</w:t>
      </w:r>
    </w:p>
    <w:p w14:paraId="00461E14" w14:textId="77777777" w:rsidR="00953856" w:rsidRPr="006318A7" w:rsidRDefault="00953856" w:rsidP="00953856">
      <w:pPr>
        <w:rPr>
          <w:color w:val="17365D"/>
          <w:sz w:val="22"/>
          <w:szCs w:val="22"/>
        </w:rPr>
      </w:pPr>
    </w:p>
    <w:p w14:paraId="1CFC85DD" w14:textId="77777777" w:rsidR="00953856" w:rsidRPr="006318A7" w:rsidRDefault="00953856" w:rsidP="00953856">
      <w:pPr>
        <w:ind w:left="720"/>
        <w:rPr>
          <w:color w:val="auto"/>
          <w:kern w:val="0"/>
          <w:sz w:val="22"/>
          <w:szCs w:val="22"/>
        </w:rPr>
      </w:pPr>
      <w:r w:rsidRPr="006318A7">
        <w:rPr>
          <w:color w:val="auto"/>
          <w:kern w:val="0"/>
          <w:sz w:val="22"/>
          <w:szCs w:val="22"/>
          <w:u w:val="single"/>
        </w:rPr>
        <w:t>Contractual</w:t>
      </w:r>
      <w:r w:rsidRPr="006318A7">
        <w:rPr>
          <w:color w:val="auto"/>
          <w:kern w:val="0"/>
          <w:sz w:val="22"/>
          <w:szCs w:val="22"/>
        </w:rPr>
        <w:t>:  Interagency Services</w:t>
      </w:r>
    </w:p>
    <w:p w14:paraId="1EA8234A" w14:textId="77777777" w:rsidR="00953856" w:rsidRPr="006318A7" w:rsidRDefault="00953856" w:rsidP="00953856">
      <w:pPr>
        <w:numPr>
          <w:ilvl w:val="0"/>
          <w:numId w:val="3"/>
        </w:numPr>
        <w:ind w:firstLine="0"/>
        <w:rPr>
          <w:b/>
          <w:color w:val="auto"/>
          <w:kern w:val="0"/>
          <w:sz w:val="22"/>
          <w:szCs w:val="22"/>
        </w:rPr>
      </w:pPr>
      <w:r w:rsidRPr="006318A7">
        <w:rPr>
          <w:color w:val="auto"/>
          <w:kern w:val="0"/>
          <w:sz w:val="22"/>
          <w:szCs w:val="22"/>
        </w:rPr>
        <w:t>Department of Administration</w:t>
      </w:r>
    </w:p>
    <w:p w14:paraId="335E91FE" w14:textId="77777777" w:rsidR="00953856" w:rsidRPr="006318A7" w:rsidRDefault="00953856" w:rsidP="00953856">
      <w:pPr>
        <w:numPr>
          <w:ilvl w:val="0"/>
          <w:numId w:val="3"/>
        </w:numPr>
        <w:ind w:firstLine="0"/>
        <w:rPr>
          <w:color w:val="auto"/>
          <w:kern w:val="0"/>
          <w:sz w:val="22"/>
          <w:szCs w:val="22"/>
        </w:rPr>
      </w:pPr>
      <w:r w:rsidRPr="006318A7">
        <w:rPr>
          <w:color w:val="auto"/>
          <w:kern w:val="0"/>
          <w:sz w:val="22"/>
          <w:szCs w:val="22"/>
        </w:rPr>
        <w:t>Department of Education</w:t>
      </w:r>
      <w:r>
        <w:rPr>
          <w:color w:val="auto"/>
          <w:kern w:val="0"/>
          <w:sz w:val="22"/>
          <w:szCs w:val="22"/>
        </w:rPr>
        <w:t xml:space="preserve"> and Early Development</w:t>
      </w:r>
    </w:p>
    <w:p w14:paraId="4E139B62" w14:textId="77777777" w:rsidR="00953856" w:rsidRPr="006318A7" w:rsidRDefault="00953856" w:rsidP="00953856">
      <w:pPr>
        <w:numPr>
          <w:ilvl w:val="0"/>
          <w:numId w:val="3"/>
        </w:numPr>
        <w:ind w:firstLine="0"/>
        <w:rPr>
          <w:b/>
          <w:color w:val="auto"/>
          <w:kern w:val="0"/>
          <w:sz w:val="22"/>
          <w:szCs w:val="22"/>
        </w:rPr>
      </w:pPr>
      <w:r w:rsidRPr="006318A7">
        <w:rPr>
          <w:color w:val="auto"/>
          <w:kern w:val="0"/>
          <w:sz w:val="22"/>
          <w:szCs w:val="22"/>
        </w:rPr>
        <w:t>Department of Law</w:t>
      </w:r>
    </w:p>
    <w:p w14:paraId="613CDDD5" w14:textId="77777777" w:rsidR="00953856" w:rsidRPr="006318A7" w:rsidRDefault="00953856" w:rsidP="00953856">
      <w:pPr>
        <w:numPr>
          <w:ilvl w:val="0"/>
          <w:numId w:val="3"/>
        </w:numPr>
        <w:ind w:firstLine="0"/>
        <w:rPr>
          <w:color w:val="auto"/>
          <w:kern w:val="0"/>
          <w:sz w:val="22"/>
          <w:szCs w:val="22"/>
        </w:rPr>
      </w:pPr>
      <w:r w:rsidRPr="006318A7">
        <w:rPr>
          <w:color w:val="auto"/>
          <w:kern w:val="0"/>
          <w:sz w:val="22"/>
          <w:szCs w:val="22"/>
        </w:rPr>
        <w:t>Postage</w:t>
      </w:r>
    </w:p>
    <w:p w14:paraId="77172F68" w14:textId="77777777" w:rsidR="00953856" w:rsidRPr="006318A7" w:rsidRDefault="00953856" w:rsidP="00953856">
      <w:pPr>
        <w:numPr>
          <w:ilvl w:val="0"/>
          <w:numId w:val="3"/>
        </w:numPr>
        <w:ind w:firstLine="0"/>
        <w:rPr>
          <w:color w:val="auto"/>
          <w:kern w:val="0"/>
          <w:sz w:val="22"/>
          <w:szCs w:val="22"/>
        </w:rPr>
      </w:pPr>
      <w:r w:rsidRPr="006318A7">
        <w:rPr>
          <w:color w:val="auto"/>
          <w:kern w:val="0"/>
          <w:sz w:val="22"/>
          <w:szCs w:val="22"/>
        </w:rPr>
        <w:t>Print/Copy/Graphics</w:t>
      </w:r>
    </w:p>
    <w:p w14:paraId="4F82B2B9" w14:textId="77777777" w:rsidR="00953856" w:rsidRPr="006318A7" w:rsidRDefault="00953856" w:rsidP="00953856">
      <w:pPr>
        <w:numPr>
          <w:ilvl w:val="0"/>
          <w:numId w:val="3"/>
        </w:numPr>
        <w:ind w:firstLine="0"/>
        <w:rPr>
          <w:color w:val="auto"/>
          <w:kern w:val="0"/>
          <w:sz w:val="22"/>
          <w:szCs w:val="22"/>
        </w:rPr>
      </w:pPr>
      <w:r w:rsidRPr="006318A7">
        <w:rPr>
          <w:color w:val="auto"/>
          <w:kern w:val="0"/>
          <w:sz w:val="22"/>
          <w:szCs w:val="22"/>
        </w:rPr>
        <w:t>Telecommunications</w:t>
      </w:r>
    </w:p>
    <w:p w14:paraId="640F4C7B" w14:textId="77777777" w:rsidR="00953856" w:rsidRPr="006318A7" w:rsidRDefault="00953856" w:rsidP="00953856">
      <w:pPr>
        <w:ind w:left="900" w:hanging="720"/>
        <w:rPr>
          <w:color w:val="17365D"/>
          <w:sz w:val="22"/>
          <w:szCs w:val="22"/>
        </w:rPr>
      </w:pPr>
    </w:p>
    <w:p w14:paraId="39F5EC64" w14:textId="77777777" w:rsidR="00953856" w:rsidRPr="006318A7" w:rsidRDefault="00953856" w:rsidP="00953856">
      <w:pPr>
        <w:ind w:left="900" w:hanging="180"/>
        <w:rPr>
          <w:color w:val="auto"/>
          <w:kern w:val="0"/>
          <w:sz w:val="22"/>
          <w:szCs w:val="22"/>
        </w:rPr>
      </w:pPr>
      <w:r w:rsidRPr="006318A7">
        <w:rPr>
          <w:color w:val="auto"/>
          <w:kern w:val="0"/>
          <w:sz w:val="22"/>
          <w:szCs w:val="22"/>
          <w:u w:val="single"/>
        </w:rPr>
        <w:t>Commodities</w:t>
      </w:r>
      <w:r w:rsidRPr="006318A7">
        <w:rPr>
          <w:color w:val="auto"/>
          <w:kern w:val="0"/>
          <w:sz w:val="22"/>
          <w:szCs w:val="22"/>
        </w:rPr>
        <w:t>:</w:t>
      </w:r>
    </w:p>
    <w:p w14:paraId="2A7A8CC6" w14:textId="3905E419" w:rsidR="00953856" w:rsidRPr="006318A7" w:rsidRDefault="00BD37BE" w:rsidP="00953856">
      <w:pPr>
        <w:numPr>
          <w:ilvl w:val="0"/>
          <w:numId w:val="3"/>
        </w:numPr>
        <w:ind w:left="900" w:hanging="180"/>
        <w:rPr>
          <w:color w:val="auto"/>
          <w:kern w:val="0"/>
          <w:sz w:val="22"/>
          <w:szCs w:val="22"/>
        </w:rPr>
      </w:pPr>
      <w:r>
        <w:rPr>
          <w:color w:val="auto"/>
          <w:kern w:val="0"/>
          <w:sz w:val="22"/>
          <w:szCs w:val="22"/>
        </w:rPr>
        <w:tab/>
      </w:r>
      <w:r w:rsidR="00953856" w:rsidRPr="006318A7">
        <w:rPr>
          <w:color w:val="auto"/>
          <w:kern w:val="0"/>
          <w:sz w:val="22"/>
          <w:szCs w:val="22"/>
        </w:rPr>
        <w:t>Business Supplies</w:t>
      </w:r>
    </w:p>
    <w:p w14:paraId="3A77569B" w14:textId="320C565E" w:rsidR="00953856" w:rsidRPr="006318A7" w:rsidRDefault="00BD37BE" w:rsidP="00953856">
      <w:pPr>
        <w:numPr>
          <w:ilvl w:val="0"/>
          <w:numId w:val="3"/>
        </w:numPr>
        <w:ind w:left="900" w:hanging="180"/>
        <w:rPr>
          <w:b/>
          <w:color w:val="auto"/>
          <w:kern w:val="0"/>
          <w:sz w:val="22"/>
          <w:szCs w:val="22"/>
        </w:rPr>
      </w:pPr>
      <w:r>
        <w:rPr>
          <w:color w:val="auto"/>
          <w:kern w:val="0"/>
          <w:sz w:val="22"/>
          <w:szCs w:val="22"/>
        </w:rPr>
        <w:tab/>
      </w:r>
      <w:r w:rsidR="00953856" w:rsidRPr="006318A7">
        <w:rPr>
          <w:color w:val="auto"/>
          <w:kern w:val="0"/>
          <w:sz w:val="22"/>
          <w:szCs w:val="22"/>
        </w:rPr>
        <w:t xml:space="preserve">Equipment and Furniture </w:t>
      </w:r>
    </w:p>
    <w:p w14:paraId="24D85E3D" w14:textId="59AC0D1B" w:rsidR="00953856" w:rsidRPr="000402C2" w:rsidRDefault="00BD37BE" w:rsidP="000402C2">
      <w:pPr>
        <w:numPr>
          <w:ilvl w:val="0"/>
          <w:numId w:val="3"/>
        </w:numPr>
        <w:ind w:left="900" w:hanging="180"/>
        <w:rPr>
          <w:color w:val="auto"/>
          <w:kern w:val="0"/>
          <w:sz w:val="22"/>
          <w:szCs w:val="22"/>
        </w:rPr>
      </w:pPr>
      <w:r>
        <w:rPr>
          <w:color w:val="auto"/>
          <w:kern w:val="0"/>
          <w:sz w:val="22"/>
          <w:szCs w:val="22"/>
        </w:rPr>
        <w:tab/>
      </w:r>
      <w:r w:rsidR="00953856" w:rsidRPr="006318A7">
        <w:rPr>
          <w:color w:val="auto"/>
          <w:kern w:val="0"/>
          <w:sz w:val="22"/>
          <w:szCs w:val="22"/>
        </w:rPr>
        <w:t>Information Technology Equipment</w:t>
      </w:r>
    </w:p>
    <w:tbl>
      <w:tblPr>
        <w:tblStyle w:val="TableGrid"/>
        <w:tblpPr w:leftFromText="180" w:rightFromText="180" w:horzAnchor="margin" w:tblpY="390"/>
        <w:tblW w:w="10843" w:type="dxa"/>
        <w:tblLook w:val="02A0" w:firstRow="1" w:lastRow="0" w:firstColumn="1" w:lastColumn="0" w:noHBand="1" w:noVBand="0"/>
        <w:tblCaption w:val="Commission Members"/>
        <w:tblDescription w:val="Commission Members and their information are listed by appointment date, reappointment and when their term expires"/>
      </w:tblPr>
      <w:tblGrid>
        <w:gridCol w:w="2717"/>
        <w:gridCol w:w="2708"/>
        <w:gridCol w:w="2709"/>
        <w:gridCol w:w="2709"/>
      </w:tblGrid>
      <w:tr w:rsidR="000402C2" w:rsidRPr="005E29B9" w14:paraId="2EA4459E" w14:textId="77777777" w:rsidTr="000402C2">
        <w:trPr>
          <w:trHeight w:val="288"/>
          <w:tblHeader/>
        </w:trPr>
        <w:tc>
          <w:tcPr>
            <w:tcW w:w="10843" w:type="dxa"/>
            <w:gridSpan w:val="4"/>
            <w:tcBorders>
              <w:top w:val="nil"/>
              <w:left w:val="nil"/>
              <w:bottom w:val="nil"/>
              <w:right w:val="nil"/>
            </w:tcBorders>
          </w:tcPr>
          <w:p w14:paraId="25F477CA" w14:textId="4F2331DB" w:rsidR="000402C2" w:rsidRPr="005E29B9" w:rsidRDefault="000402C2" w:rsidP="00123ED2">
            <w:pPr>
              <w:spacing w:line="360" w:lineRule="auto"/>
              <w:jc w:val="center"/>
              <w:rPr>
                <w:rFonts w:eastAsiaTheme="minorHAnsi"/>
                <w:b/>
                <w:sz w:val="24"/>
                <w:szCs w:val="24"/>
              </w:rPr>
            </w:pPr>
            <w:r>
              <w:rPr>
                <w:rFonts w:eastAsiaTheme="minorHAnsi"/>
                <w:b/>
                <w:sz w:val="24"/>
                <w:szCs w:val="24"/>
              </w:rPr>
              <w:lastRenderedPageBreak/>
              <w:t xml:space="preserve">Current </w:t>
            </w:r>
            <w:r w:rsidR="00127C64">
              <w:rPr>
                <w:rFonts w:eastAsiaTheme="minorHAnsi"/>
                <w:b/>
                <w:sz w:val="24"/>
                <w:szCs w:val="24"/>
              </w:rPr>
              <w:t xml:space="preserve">PTPC </w:t>
            </w:r>
            <w:r>
              <w:rPr>
                <w:rFonts w:eastAsiaTheme="minorHAnsi"/>
                <w:b/>
                <w:sz w:val="24"/>
                <w:szCs w:val="24"/>
              </w:rPr>
              <w:t>Members</w:t>
            </w:r>
          </w:p>
        </w:tc>
      </w:tr>
      <w:tr w:rsidR="00953856" w:rsidRPr="005E29B9" w14:paraId="1EAC70C2" w14:textId="77777777" w:rsidTr="000402C2">
        <w:trPr>
          <w:trHeight w:val="684"/>
          <w:tblHeader/>
        </w:trPr>
        <w:tc>
          <w:tcPr>
            <w:tcW w:w="2717" w:type="dxa"/>
            <w:tcBorders>
              <w:top w:val="nil"/>
              <w:left w:val="nil"/>
              <w:bottom w:val="nil"/>
              <w:right w:val="nil"/>
            </w:tcBorders>
          </w:tcPr>
          <w:p w14:paraId="1BA409A1" w14:textId="3735483D" w:rsidR="00953856" w:rsidRPr="005E29B9" w:rsidRDefault="00953856" w:rsidP="000402C2">
            <w:pPr>
              <w:rPr>
                <w:rFonts w:eastAsiaTheme="minorHAnsi"/>
                <w:b/>
                <w:sz w:val="24"/>
                <w:szCs w:val="24"/>
              </w:rPr>
            </w:pPr>
            <w:r w:rsidRPr="005E29B9">
              <w:rPr>
                <w:rFonts w:eastAsiaTheme="minorHAnsi"/>
                <w:b/>
                <w:sz w:val="24"/>
                <w:szCs w:val="24"/>
              </w:rPr>
              <w:t>MEMBER</w:t>
            </w:r>
          </w:p>
        </w:tc>
        <w:tc>
          <w:tcPr>
            <w:tcW w:w="2708" w:type="dxa"/>
            <w:tcBorders>
              <w:top w:val="nil"/>
              <w:left w:val="nil"/>
              <w:bottom w:val="nil"/>
              <w:right w:val="nil"/>
            </w:tcBorders>
          </w:tcPr>
          <w:p w14:paraId="7F121331" w14:textId="77777777" w:rsidR="00953856" w:rsidRPr="005E29B9" w:rsidRDefault="00953856" w:rsidP="000402C2">
            <w:pPr>
              <w:rPr>
                <w:rFonts w:eastAsiaTheme="minorHAnsi"/>
                <w:b/>
                <w:sz w:val="24"/>
                <w:szCs w:val="24"/>
              </w:rPr>
            </w:pPr>
            <w:r w:rsidRPr="005E29B9">
              <w:rPr>
                <w:rFonts w:eastAsiaTheme="minorHAnsi"/>
                <w:b/>
                <w:sz w:val="24"/>
                <w:szCs w:val="24"/>
              </w:rPr>
              <w:t>DATE APPOINTED</w:t>
            </w:r>
          </w:p>
        </w:tc>
        <w:tc>
          <w:tcPr>
            <w:tcW w:w="2709" w:type="dxa"/>
            <w:tcBorders>
              <w:top w:val="nil"/>
              <w:left w:val="nil"/>
              <w:bottom w:val="nil"/>
              <w:right w:val="nil"/>
            </w:tcBorders>
          </w:tcPr>
          <w:p w14:paraId="7377375C" w14:textId="77777777" w:rsidR="00953856" w:rsidRPr="005E29B9" w:rsidRDefault="00953856" w:rsidP="000402C2">
            <w:pPr>
              <w:rPr>
                <w:rFonts w:eastAsiaTheme="minorHAnsi"/>
                <w:b/>
                <w:sz w:val="24"/>
                <w:szCs w:val="24"/>
              </w:rPr>
            </w:pPr>
            <w:r w:rsidRPr="005E29B9">
              <w:rPr>
                <w:rFonts w:eastAsiaTheme="minorHAnsi"/>
                <w:b/>
                <w:sz w:val="24"/>
                <w:szCs w:val="24"/>
              </w:rPr>
              <w:t>REAPPOINTED</w:t>
            </w:r>
          </w:p>
        </w:tc>
        <w:tc>
          <w:tcPr>
            <w:tcW w:w="2709" w:type="dxa"/>
            <w:tcBorders>
              <w:top w:val="nil"/>
              <w:left w:val="nil"/>
              <w:bottom w:val="nil"/>
              <w:right w:val="nil"/>
            </w:tcBorders>
          </w:tcPr>
          <w:p w14:paraId="3F93A84D" w14:textId="77777777" w:rsidR="00953856" w:rsidRPr="005E29B9" w:rsidRDefault="00953856" w:rsidP="000402C2">
            <w:pPr>
              <w:spacing w:line="360" w:lineRule="auto"/>
              <w:rPr>
                <w:rFonts w:eastAsiaTheme="minorHAnsi"/>
                <w:b/>
                <w:sz w:val="24"/>
                <w:szCs w:val="24"/>
              </w:rPr>
            </w:pPr>
            <w:r w:rsidRPr="005E29B9">
              <w:rPr>
                <w:rFonts w:eastAsiaTheme="minorHAnsi"/>
                <w:b/>
                <w:sz w:val="24"/>
                <w:szCs w:val="24"/>
              </w:rPr>
              <w:t>TERM EXPIRES</w:t>
            </w:r>
          </w:p>
        </w:tc>
      </w:tr>
      <w:tr w:rsidR="00953856" w:rsidRPr="005E29B9" w14:paraId="2564CA65" w14:textId="77777777" w:rsidTr="000402C2">
        <w:trPr>
          <w:trHeight w:val="980"/>
        </w:trPr>
        <w:tc>
          <w:tcPr>
            <w:tcW w:w="2717" w:type="dxa"/>
            <w:tcBorders>
              <w:top w:val="nil"/>
              <w:left w:val="nil"/>
              <w:bottom w:val="nil"/>
              <w:right w:val="nil"/>
            </w:tcBorders>
          </w:tcPr>
          <w:p w14:paraId="586E93B3" w14:textId="47CAD2DD" w:rsidR="00953856" w:rsidRPr="005E29B9" w:rsidRDefault="00953856" w:rsidP="000402C2">
            <w:pPr>
              <w:keepNext/>
              <w:outlineLvl w:val="0"/>
              <w:rPr>
                <w:rFonts w:eastAsiaTheme="minorHAnsi"/>
                <w:b/>
                <w:i/>
              </w:rPr>
            </w:pPr>
            <w:r>
              <w:rPr>
                <w:rFonts w:eastAsiaTheme="minorHAnsi"/>
                <w:b/>
                <w:i/>
              </w:rPr>
              <w:t>Adam Reid</w:t>
            </w:r>
          </w:p>
          <w:p w14:paraId="25250FF9" w14:textId="77777777" w:rsidR="00953856" w:rsidRPr="005E29B9" w:rsidRDefault="00953856" w:rsidP="000402C2">
            <w:pPr>
              <w:rPr>
                <w:rFonts w:eastAsiaTheme="minorHAnsi"/>
              </w:rPr>
            </w:pPr>
            <w:r w:rsidRPr="005E29B9">
              <w:rPr>
                <w:rFonts w:eastAsiaTheme="minorHAnsi"/>
              </w:rPr>
              <w:t>Teacher Representative</w:t>
            </w:r>
          </w:p>
          <w:p w14:paraId="19E2840C" w14:textId="548F36EF" w:rsidR="00953856" w:rsidRPr="005E29B9" w:rsidRDefault="00953856" w:rsidP="000402C2">
            <w:pPr>
              <w:spacing w:line="360" w:lineRule="auto"/>
              <w:rPr>
                <w:rFonts w:eastAsiaTheme="minorHAnsi"/>
              </w:rPr>
            </w:pPr>
            <w:r>
              <w:rPr>
                <w:rFonts w:eastAsiaTheme="minorHAnsi"/>
              </w:rPr>
              <w:t>Anchorage (ASD)</w:t>
            </w:r>
          </w:p>
        </w:tc>
        <w:tc>
          <w:tcPr>
            <w:tcW w:w="2708" w:type="dxa"/>
            <w:tcBorders>
              <w:top w:val="nil"/>
              <w:left w:val="nil"/>
              <w:bottom w:val="nil"/>
              <w:right w:val="nil"/>
            </w:tcBorders>
          </w:tcPr>
          <w:p w14:paraId="21F089DE" w14:textId="48F4766C" w:rsidR="00953856" w:rsidRPr="005E29B9" w:rsidRDefault="00953856" w:rsidP="000402C2">
            <w:pPr>
              <w:rPr>
                <w:rFonts w:eastAsiaTheme="minorHAnsi"/>
              </w:rPr>
            </w:pPr>
            <w:r w:rsidRPr="005E29B9">
              <w:rPr>
                <w:rFonts w:eastAsiaTheme="minorHAnsi"/>
              </w:rPr>
              <w:t>0</w:t>
            </w:r>
            <w:r>
              <w:rPr>
                <w:rFonts w:eastAsiaTheme="minorHAnsi"/>
              </w:rPr>
              <w:t>4/01/2020</w:t>
            </w:r>
          </w:p>
        </w:tc>
        <w:tc>
          <w:tcPr>
            <w:tcW w:w="2709" w:type="dxa"/>
            <w:tcBorders>
              <w:top w:val="nil"/>
              <w:left w:val="nil"/>
              <w:bottom w:val="nil"/>
              <w:right w:val="nil"/>
            </w:tcBorders>
          </w:tcPr>
          <w:p w14:paraId="23E5C465" w14:textId="0B29851C" w:rsidR="00953856" w:rsidRPr="005E29B9" w:rsidRDefault="00953856" w:rsidP="000402C2">
            <w:pPr>
              <w:rPr>
                <w:rFonts w:eastAsiaTheme="minorHAnsi"/>
              </w:rPr>
            </w:pPr>
          </w:p>
        </w:tc>
        <w:tc>
          <w:tcPr>
            <w:tcW w:w="2709" w:type="dxa"/>
            <w:tcBorders>
              <w:top w:val="nil"/>
              <w:left w:val="nil"/>
              <w:bottom w:val="nil"/>
              <w:right w:val="nil"/>
            </w:tcBorders>
          </w:tcPr>
          <w:p w14:paraId="40AC19C1" w14:textId="30C5F9B6" w:rsidR="00953856" w:rsidRPr="005E29B9" w:rsidRDefault="00953856" w:rsidP="000402C2">
            <w:pPr>
              <w:rPr>
                <w:rFonts w:eastAsiaTheme="minorHAnsi"/>
              </w:rPr>
            </w:pPr>
            <w:r w:rsidRPr="005E29B9">
              <w:rPr>
                <w:rFonts w:eastAsiaTheme="minorHAnsi"/>
              </w:rPr>
              <w:t>03/01/2</w:t>
            </w:r>
            <w:r>
              <w:rPr>
                <w:rFonts w:eastAsiaTheme="minorHAnsi"/>
              </w:rPr>
              <w:t>022</w:t>
            </w:r>
          </w:p>
        </w:tc>
      </w:tr>
      <w:tr w:rsidR="00953856" w:rsidRPr="005E29B9" w14:paraId="4C3F276A" w14:textId="77777777" w:rsidTr="000402C2">
        <w:trPr>
          <w:trHeight w:val="1276"/>
        </w:trPr>
        <w:tc>
          <w:tcPr>
            <w:tcW w:w="2717" w:type="dxa"/>
            <w:tcBorders>
              <w:top w:val="nil"/>
              <w:left w:val="nil"/>
              <w:bottom w:val="nil"/>
              <w:right w:val="nil"/>
            </w:tcBorders>
          </w:tcPr>
          <w:p w14:paraId="26B550E5" w14:textId="613A2720" w:rsidR="00953856" w:rsidRPr="005E29B9" w:rsidRDefault="00953856" w:rsidP="000402C2">
            <w:pPr>
              <w:rPr>
                <w:rFonts w:eastAsiaTheme="minorHAnsi"/>
              </w:rPr>
            </w:pPr>
            <w:r w:rsidRPr="005E29B9">
              <w:rPr>
                <w:rFonts w:eastAsiaTheme="minorHAnsi"/>
                <w:b/>
                <w:i/>
              </w:rPr>
              <w:t>Maureen van Wagner</w:t>
            </w:r>
            <w:r w:rsidRPr="005E29B9">
              <w:rPr>
                <w:rFonts w:eastAsiaTheme="minorHAnsi"/>
              </w:rPr>
              <w:t xml:space="preserve">, </w:t>
            </w:r>
          </w:p>
          <w:p w14:paraId="14ED309E" w14:textId="77777777" w:rsidR="00953856" w:rsidRPr="005E29B9" w:rsidRDefault="00953856" w:rsidP="000402C2">
            <w:pPr>
              <w:rPr>
                <w:rFonts w:eastAsiaTheme="minorHAnsi"/>
              </w:rPr>
            </w:pPr>
            <w:r w:rsidRPr="005E29B9">
              <w:rPr>
                <w:rFonts w:eastAsiaTheme="minorHAnsi"/>
              </w:rPr>
              <w:t>Teacher Representative</w:t>
            </w:r>
          </w:p>
          <w:p w14:paraId="6A6EE58D" w14:textId="77777777" w:rsidR="00953856" w:rsidRPr="005E29B9" w:rsidRDefault="00953856" w:rsidP="000402C2">
            <w:pPr>
              <w:spacing w:line="360" w:lineRule="auto"/>
              <w:rPr>
                <w:rFonts w:eastAsiaTheme="minorHAnsi"/>
              </w:rPr>
            </w:pPr>
            <w:r w:rsidRPr="005E29B9">
              <w:rPr>
                <w:rFonts w:eastAsiaTheme="minorHAnsi"/>
              </w:rPr>
              <w:t>Anchorage (ASD)</w:t>
            </w:r>
          </w:p>
        </w:tc>
        <w:tc>
          <w:tcPr>
            <w:tcW w:w="2708" w:type="dxa"/>
            <w:tcBorders>
              <w:top w:val="nil"/>
              <w:left w:val="nil"/>
              <w:bottom w:val="nil"/>
              <w:right w:val="nil"/>
            </w:tcBorders>
          </w:tcPr>
          <w:p w14:paraId="3B694F5A" w14:textId="77777777" w:rsidR="00953856" w:rsidRPr="005E29B9" w:rsidRDefault="00953856" w:rsidP="000402C2">
            <w:pPr>
              <w:rPr>
                <w:rFonts w:eastAsiaTheme="minorHAnsi"/>
              </w:rPr>
            </w:pPr>
            <w:r w:rsidRPr="005E29B9">
              <w:rPr>
                <w:rFonts w:eastAsiaTheme="minorHAnsi"/>
              </w:rPr>
              <w:t>03/01/2014</w:t>
            </w:r>
          </w:p>
        </w:tc>
        <w:tc>
          <w:tcPr>
            <w:tcW w:w="2709" w:type="dxa"/>
            <w:tcBorders>
              <w:top w:val="nil"/>
              <w:left w:val="nil"/>
              <w:bottom w:val="nil"/>
              <w:right w:val="nil"/>
            </w:tcBorders>
          </w:tcPr>
          <w:p w14:paraId="52161692" w14:textId="77777777" w:rsidR="00953856" w:rsidRPr="005E29B9" w:rsidRDefault="00953856" w:rsidP="000402C2">
            <w:pPr>
              <w:rPr>
                <w:rFonts w:eastAsiaTheme="minorHAnsi"/>
              </w:rPr>
            </w:pPr>
            <w:r w:rsidRPr="005E29B9">
              <w:rPr>
                <w:rFonts w:eastAsiaTheme="minorHAnsi"/>
              </w:rPr>
              <w:t>03/01/2017</w:t>
            </w:r>
          </w:p>
        </w:tc>
        <w:tc>
          <w:tcPr>
            <w:tcW w:w="2709" w:type="dxa"/>
            <w:tcBorders>
              <w:top w:val="nil"/>
              <w:left w:val="nil"/>
              <w:bottom w:val="nil"/>
              <w:right w:val="nil"/>
            </w:tcBorders>
          </w:tcPr>
          <w:p w14:paraId="346CC7F1" w14:textId="77777777" w:rsidR="00953856" w:rsidRPr="005E29B9" w:rsidRDefault="00953856" w:rsidP="000402C2">
            <w:pPr>
              <w:rPr>
                <w:rFonts w:eastAsiaTheme="minorHAnsi"/>
              </w:rPr>
            </w:pPr>
            <w:r w:rsidRPr="005E29B9">
              <w:rPr>
                <w:rFonts w:eastAsiaTheme="minorHAnsi"/>
              </w:rPr>
              <w:t>03/01/2020</w:t>
            </w:r>
          </w:p>
        </w:tc>
      </w:tr>
      <w:tr w:rsidR="00953856" w:rsidRPr="005E29B9" w14:paraId="48924F4B" w14:textId="77777777" w:rsidTr="000402C2">
        <w:trPr>
          <w:trHeight w:val="998"/>
        </w:trPr>
        <w:tc>
          <w:tcPr>
            <w:tcW w:w="2717" w:type="dxa"/>
            <w:tcBorders>
              <w:top w:val="nil"/>
              <w:left w:val="nil"/>
              <w:bottom w:val="nil"/>
              <w:right w:val="nil"/>
            </w:tcBorders>
          </w:tcPr>
          <w:p w14:paraId="2DD7F68F" w14:textId="5212AEA2" w:rsidR="00953856" w:rsidRPr="005E29B9" w:rsidRDefault="00953856" w:rsidP="000402C2">
            <w:pPr>
              <w:rPr>
                <w:rFonts w:eastAsiaTheme="minorHAnsi"/>
              </w:rPr>
            </w:pPr>
            <w:r w:rsidRPr="005E29B9">
              <w:rPr>
                <w:rFonts w:eastAsiaTheme="minorHAnsi"/>
                <w:b/>
                <w:i/>
              </w:rPr>
              <w:t>Kent Runion</w:t>
            </w:r>
            <w:r w:rsidRPr="005E29B9">
              <w:rPr>
                <w:rFonts w:eastAsiaTheme="minorHAnsi"/>
              </w:rPr>
              <w:t xml:space="preserve">, </w:t>
            </w:r>
            <w:r w:rsidR="00D26C64">
              <w:rPr>
                <w:rFonts w:eastAsiaTheme="minorHAnsi"/>
              </w:rPr>
              <w:t>Chair</w:t>
            </w:r>
          </w:p>
          <w:p w14:paraId="511A98C0" w14:textId="77777777" w:rsidR="00953856" w:rsidRPr="005E29B9" w:rsidRDefault="00953856" w:rsidP="000402C2">
            <w:pPr>
              <w:rPr>
                <w:rFonts w:eastAsiaTheme="minorHAnsi"/>
              </w:rPr>
            </w:pPr>
            <w:r w:rsidRPr="005E29B9">
              <w:rPr>
                <w:rFonts w:eastAsiaTheme="minorHAnsi"/>
              </w:rPr>
              <w:t>Teacher Representative</w:t>
            </w:r>
          </w:p>
          <w:p w14:paraId="0462DE90" w14:textId="77777777" w:rsidR="00953856" w:rsidRPr="005E29B9" w:rsidRDefault="00953856" w:rsidP="000402C2">
            <w:pPr>
              <w:spacing w:line="360" w:lineRule="auto"/>
              <w:rPr>
                <w:rFonts w:eastAsiaTheme="minorHAnsi"/>
              </w:rPr>
            </w:pPr>
            <w:r w:rsidRPr="005E29B9">
              <w:rPr>
                <w:rFonts w:eastAsiaTheme="minorHAnsi"/>
              </w:rPr>
              <w:t>Valdez (VCS)</w:t>
            </w:r>
          </w:p>
        </w:tc>
        <w:tc>
          <w:tcPr>
            <w:tcW w:w="2708" w:type="dxa"/>
            <w:tcBorders>
              <w:top w:val="nil"/>
              <w:left w:val="nil"/>
              <w:bottom w:val="nil"/>
              <w:right w:val="nil"/>
            </w:tcBorders>
          </w:tcPr>
          <w:p w14:paraId="6000E180" w14:textId="77777777" w:rsidR="00953856" w:rsidRPr="005E29B9" w:rsidRDefault="00953856" w:rsidP="000402C2">
            <w:pPr>
              <w:rPr>
                <w:rFonts w:eastAsiaTheme="minorHAnsi"/>
              </w:rPr>
            </w:pPr>
            <w:r w:rsidRPr="005E29B9">
              <w:rPr>
                <w:rFonts w:eastAsiaTheme="minorHAnsi"/>
              </w:rPr>
              <w:t>11/18/2016</w:t>
            </w:r>
          </w:p>
        </w:tc>
        <w:tc>
          <w:tcPr>
            <w:tcW w:w="2709" w:type="dxa"/>
            <w:tcBorders>
              <w:top w:val="nil"/>
              <w:left w:val="nil"/>
              <w:bottom w:val="nil"/>
              <w:right w:val="nil"/>
            </w:tcBorders>
          </w:tcPr>
          <w:p w14:paraId="1CD7C544" w14:textId="77777777" w:rsidR="00953856" w:rsidRPr="005E29B9" w:rsidRDefault="00953856" w:rsidP="000402C2">
            <w:pPr>
              <w:rPr>
                <w:rFonts w:eastAsiaTheme="minorHAnsi"/>
              </w:rPr>
            </w:pPr>
            <w:r w:rsidRPr="005E29B9">
              <w:rPr>
                <w:rFonts w:eastAsiaTheme="minorHAnsi"/>
              </w:rPr>
              <w:t>03/01/2018</w:t>
            </w:r>
          </w:p>
        </w:tc>
        <w:tc>
          <w:tcPr>
            <w:tcW w:w="2709" w:type="dxa"/>
            <w:tcBorders>
              <w:top w:val="nil"/>
              <w:left w:val="nil"/>
              <w:bottom w:val="nil"/>
              <w:right w:val="nil"/>
            </w:tcBorders>
          </w:tcPr>
          <w:p w14:paraId="1CB78C69" w14:textId="77777777" w:rsidR="00953856" w:rsidRPr="005E29B9" w:rsidRDefault="00953856" w:rsidP="000402C2">
            <w:pPr>
              <w:rPr>
                <w:rFonts w:eastAsiaTheme="minorHAnsi"/>
              </w:rPr>
            </w:pPr>
            <w:r w:rsidRPr="005E29B9">
              <w:rPr>
                <w:rFonts w:eastAsiaTheme="minorHAnsi"/>
              </w:rPr>
              <w:t>03/01/2021</w:t>
            </w:r>
          </w:p>
        </w:tc>
      </w:tr>
      <w:tr w:rsidR="00953856" w:rsidRPr="005E29B9" w14:paraId="1A6AAC1B" w14:textId="77777777" w:rsidTr="000402C2">
        <w:trPr>
          <w:trHeight w:val="1276"/>
        </w:trPr>
        <w:tc>
          <w:tcPr>
            <w:tcW w:w="2717" w:type="dxa"/>
            <w:tcBorders>
              <w:top w:val="nil"/>
              <w:left w:val="nil"/>
              <w:bottom w:val="nil"/>
              <w:right w:val="nil"/>
            </w:tcBorders>
          </w:tcPr>
          <w:p w14:paraId="2FF8BE19" w14:textId="0374B952" w:rsidR="00953856" w:rsidRPr="005E29B9" w:rsidRDefault="00953856" w:rsidP="000402C2">
            <w:pPr>
              <w:rPr>
                <w:rFonts w:eastAsiaTheme="minorHAnsi"/>
              </w:rPr>
            </w:pPr>
            <w:r w:rsidRPr="005E29B9">
              <w:rPr>
                <w:rFonts w:eastAsiaTheme="minorHAnsi"/>
                <w:b/>
                <w:i/>
              </w:rPr>
              <w:t>Diane Kardash</w:t>
            </w:r>
            <w:r w:rsidRPr="005E29B9">
              <w:rPr>
                <w:rFonts w:eastAsiaTheme="minorHAnsi"/>
              </w:rPr>
              <w:t xml:space="preserve">, </w:t>
            </w:r>
          </w:p>
          <w:p w14:paraId="74A1945A" w14:textId="77777777" w:rsidR="00953856" w:rsidRPr="005E29B9" w:rsidRDefault="00953856" w:rsidP="000402C2">
            <w:pPr>
              <w:spacing w:after="120"/>
              <w:rPr>
                <w:rFonts w:eastAsiaTheme="minorHAnsi"/>
              </w:rPr>
            </w:pPr>
            <w:r w:rsidRPr="005E29B9">
              <w:rPr>
                <w:rFonts w:eastAsiaTheme="minorHAnsi"/>
              </w:rPr>
              <w:t>Higher Education Representative (UAF)</w:t>
            </w:r>
          </w:p>
        </w:tc>
        <w:tc>
          <w:tcPr>
            <w:tcW w:w="2708" w:type="dxa"/>
            <w:tcBorders>
              <w:top w:val="nil"/>
              <w:left w:val="nil"/>
              <w:bottom w:val="nil"/>
              <w:right w:val="nil"/>
            </w:tcBorders>
          </w:tcPr>
          <w:p w14:paraId="75C547A3" w14:textId="77777777" w:rsidR="00953856" w:rsidRPr="005E29B9" w:rsidRDefault="00953856" w:rsidP="000402C2">
            <w:pPr>
              <w:rPr>
                <w:rFonts w:eastAsiaTheme="minorHAnsi"/>
              </w:rPr>
            </w:pPr>
            <w:r w:rsidRPr="005E29B9">
              <w:rPr>
                <w:rFonts w:eastAsiaTheme="minorHAnsi"/>
              </w:rPr>
              <w:t>05/26/2017</w:t>
            </w:r>
          </w:p>
        </w:tc>
        <w:tc>
          <w:tcPr>
            <w:tcW w:w="2709" w:type="dxa"/>
            <w:tcBorders>
              <w:top w:val="nil"/>
              <w:left w:val="nil"/>
              <w:bottom w:val="nil"/>
              <w:right w:val="nil"/>
            </w:tcBorders>
          </w:tcPr>
          <w:p w14:paraId="2C5A3DAA" w14:textId="77777777" w:rsidR="00953856" w:rsidRPr="005E29B9" w:rsidRDefault="00953856" w:rsidP="000402C2">
            <w:pPr>
              <w:rPr>
                <w:rFonts w:eastAsiaTheme="minorHAnsi"/>
              </w:rPr>
            </w:pPr>
            <w:r w:rsidRPr="005E29B9">
              <w:rPr>
                <w:rFonts w:eastAsiaTheme="minorHAnsi"/>
              </w:rPr>
              <w:t>03/01/2018</w:t>
            </w:r>
          </w:p>
        </w:tc>
        <w:tc>
          <w:tcPr>
            <w:tcW w:w="2709" w:type="dxa"/>
            <w:tcBorders>
              <w:top w:val="nil"/>
              <w:left w:val="nil"/>
              <w:bottom w:val="nil"/>
              <w:right w:val="nil"/>
            </w:tcBorders>
          </w:tcPr>
          <w:p w14:paraId="1CFC6991" w14:textId="77777777" w:rsidR="00953856" w:rsidRPr="005E29B9" w:rsidRDefault="00953856" w:rsidP="000402C2">
            <w:pPr>
              <w:rPr>
                <w:rFonts w:eastAsiaTheme="minorHAnsi"/>
              </w:rPr>
            </w:pPr>
            <w:r w:rsidRPr="005E29B9">
              <w:rPr>
                <w:rFonts w:eastAsiaTheme="minorHAnsi"/>
              </w:rPr>
              <w:t>03/01/2021</w:t>
            </w:r>
          </w:p>
        </w:tc>
      </w:tr>
      <w:tr w:rsidR="00953856" w:rsidRPr="005E29B9" w14:paraId="5DFB37FF" w14:textId="77777777" w:rsidTr="000402C2">
        <w:trPr>
          <w:trHeight w:val="998"/>
        </w:trPr>
        <w:tc>
          <w:tcPr>
            <w:tcW w:w="2717" w:type="dxa"/>
            <w:tcBorders>
              <w:top w:val="nil"/>
              <w:left w:val="nil"/>
              <w:bottom w:val="nil"/>
              <w:right w:val="nil"/>
            </w:tcBorders>
          </w:tcPr>
          <w:p w14:paraId="095945C7" w14:textId="77777777" w:rsidR="00953856" w:rsidRPr="005E29B9" w:rsidRDefault="00953856" w:rsidP="000402C2">
            <w:pPr>
              <w:keepNext/>
              <w:outlineLvl w:val="0"/>
              <w:rPr>
                <w:rFonts w:eastAsiaTheme="minorHAnsi"/>
                <w:b/>
                <w:i/>
              </w:rPr>
            </w:pPr>
            <w:r w:rsidRPr="005E29B9">
              <w:rPr>
                <w:rFonts w:eastAsiaTheme="minorHAnsi"/>
                <w:b/>
                <w:i/>
              </w:rPr>
              <w:t>Tony Graham</w:t>
            </w:r>
          </w:p>
          <w:p w14:paraId="40D69F16" w14:textId="77777777" w:rsidR="00953856" w:rsidRPr="005E29B9" w:rsidRDefault="00953856" w:rsidP="000402C2">
            <w:pPr>
              <w:rPr>
                <w:rFonts w:eastAsiaTheme="minorHAnsi"/>
              </w:rPr>
            </w:pPr>
            <w:r w:rsidRPr="005E29B9">
              <w:rPr>
                <w:rFonts w:eastAsiaTheme="minorHAnsi"/>
              </w:rPr>
              <w:t>Principal Representative</w:t>
            </w:r>
          </w:p>
          <w:p w14:paraId="04A1E6E3" w14:textId="77777777" w:rsidR="00953856" w:rsidRPr="005E29B9" w:rsidRDefault="00953856" w:rsidP="000402C2">
            <w:pPr>
              <w:spacing w:line="360" w:lineRule="auto"/>
              <w:rPr>
                <w:rFonts w:eastAsiaTheme="minorHAnsi"/>
              </w:rPr>
            </w:pPr>
            <w:r w:rsidRPr="005E29B9">
              <w:rPr>
                <w:rFonts w:eastAsiaTheme="minorHAnsi"/>
              </w:rPr>
              <w:t>Soldotna (KPBSD)</w:t>
            </w:r>
          </w:p>
        </w:tc>
        <w:tc>
          <w:tcPr>
            <w:tcW w:w="2708" w:type="dxa"/>
            <w:tcBorders>
              <w:top w:val="nil"/>
              <w:left w:val="nil"/>
              <w:bottom w:val="nil"/>
              <w:right w:val="nil"/>
            </w:tcBorders>
          </w:tcPr>
          <w:p w14:paraId="5223486A" w14:textId="77777777" w:rsidR="00953856" w:rsidRPr="005E29B9" w:rsidRDefault="00953856" w:rsidP="000402C2">
            <w:pPr>
              <w:rPr>
                <w:rFonts w:eastAsiaTheme="minorHAnsi"/>
              </w:rPr>
            </w:pPr>
            <w:r w:rsidRPr="005E29B9">
              <w:rPr>
                <w:rFonts w:eastAsiaTheme="minorHAnsi"/>
              </w:rPr>
              <w:t>03/01/2018</w:t>
            </w:r>
          </w:p>
        </w:tc>
        <w:tc>
          <w:tcPr>
            <w:tcW w:w="2709" w:type="dxa"/>
            <w:tcBorders>
              <w:top w:val="nil"/>
              <w:left w:val="nil"/>
              <w:bottom w:val="nil"/>
              <w:right w:val="nil"/>
            </w:tcBorders>
          </w:tcPr>
          <w:p w14:paraId="2E9DDBF5" w14:textId="77777777" w:rsidR="00953856" w:rsidRPr="005E29B9" w:rsidRDefault="00953856" w:rsidP="000402C2">
            <w:pPr>
              <w:rPr>
                <w:rFonts w:eastAsiaTheme="minorHAnsi"/>
              </w:rPr>
            </w:pPr>
          </w:p>
        </w:tc>
        <w:tc>
          <w:tcPr>
            <w:tcW w:w="2709" w:type="dxa"/>
            <w:tcBorders>
              <w:top w:val="nil"/>
              <w:left w:val="nil"/>
              <w:bottom w:val="nil"/>
              <w:right w:val="nil"/>
            </w:tcBorders>
          </w:tcPr>
          <w:p w14:paraId="790C0A7C" w14:textId="77777777" w:rsidR="00953856" w:rsidRPr="005E29B9" w:rsidRDefault="00953856" w:rsidP="000402C2">
            <w:pPr>
              <w:rPr>
                <w:rFonts w:eastAsiaTheme="minorHAnsi"/>
              </w:rPr>
            </w:pPr>
            <w:r w:rsidRPr="005E29B9">
              <w:rPr>
                <w:rFonts w:eastAsiaTheme="minorHAnsi"/>
              </w:rPr>
              <w:t>03/01/2021</w:t>
            </w:r>
          </w:p>
        </w:tc>
      </w:tr>
      <w:tr w:rsidR="00953856" w:rsidRPr="005E29B9" w14:paraId="5F49F70A" w14:textId="77777777" w:rsidTr="000402C2">
        <w:trPr>
          <w:trHeight w:val="998"/>
        </w:trPr>
        <w:tc>
          <w:tcPr>
            <w:tcW w:w="2717" w:type="dxa"/>
            <w:tcBorders>
              <w:top w:val="nil"/>
              <w:left w:val="nil"/>
              <w:bottom w:val="nil"/>
              <w:right w:val="nil"/>
            </w:tcBorders>
          </w:tcPr>
          <w:p w14:paraId="09A022B5" w14:textId="77777777" w:rsidR="00953856" w:rsidRPr="005E29B9" w:rsidRDefault="00953856" w:rsidP="000402C2">
            <w:pPr>
              <w:keepNext/>
              <w:outlineLvl w:val="0"/>
              <w:rPr>
                <w:rFonts w:eastAsiaTheme="minorHAnsi"/>
                <w:b/>
                <w:i/>
              </w:rPr>
            </w:pPr>
            <w:r w:rsidRPr="005E29B9">
              <w:rPr>
                <w:rFonts w:eastAsiaTheme="minorHAnsi"/>
                <w:b/>
                <w:i/>
              </w:rPr>
              <w:t>Janine Todd</w:t>
            </w:r>
          </w:p>
          <w:p w14:paraId="5F6030E6" w14:textId="77777777" w:rsidR="00953856" w:rsidRPr="005E29B9" w:rsidRDefault="00953856" w:rsidP="000402C2">
            <w:pPr>
              <w:rPr>
                <w:rFonts w:eastAsiaTheme="minorHAnsi"/>
              </w:rPr>
            </w:pPr>
            <w:r w:rsidRPr="005E29B9">
              <w:rPr>
                <w:rFonts w:eastAsiaTheme="minorHAnsi"/>
              </w:rPr>
              <w:t>Teacher Representative</w:t>
            </w:r>
          </w:p>
          <w:p w14:paraId="0840DBC6" w14:textId="77777777" w:rsidR="00953856" w:rsidRPr="005E29B9" w:rsidRDefault="00953856" w:rsidP="000402C2">
            <w:pPr>
              <w:spacing w:line="360" w:lineRule="auto"/>
              <w:rPr>
                <w:rFonts w:eastAsiaTheme="minorHAnsi"/>
              </w:rPr>
            </w:pPr>
            <w:r w:rsidRPr="005E29B9">
              <w:rPr>
                <w:rFonts w:eastAsiaTheme="minorHAnsi"/>
              </w:rPr>
              <w:t>Delta Junction (DGS)</w:t>
            </w:r>
          </w:p>
        </w:tc>
        <w:tc>
          <w:tcPr>
            <w:tcW w:w="2708" w:type="dxa"/>
            <w:tcBorders>
              <w:top w:val="nil"/>
              <w:left w:val="nil"/>
              <w:bottom w:val="nil"/>
              <w:right w:val="nil"/>
            </w:tcBorders>
          </w:tcPr>
          <w:p w14:paraId="3B3BE3D7" w14:textId="77777777" w:rsidR="00953856" w:rsidRPr="005E29B9" w:rsidRDefault="00953856" w:rsidP="000402C2">
            <w:pPr>
              <w:rPr>
                <w:rFonts w:eastAsiaTheme="minorHAnsi"/>
              </w:rPr>
            </w:pPr>
            <w:r w:rsidRPr="005E29B9">
              <w:rPr>
                <w:rFonts w:eastAsiaTheme="minorHAnsi"/>
              </w:rPr>
              <w:t>07/12/2018</w:t>
            </w:r>
          </w:p>
        </w:tc>
        <w:tc>
          <w:tcPr>
            <w:tcW w:w="2709" w:type="dxa"/>
            <w:tcBorders>
              <w:top w:val="nil"/>
              <w:left w:val="nil"/>
              <w:bottom w:val="nil"/>
              <w:right w:val="nil"/>
            </w:tcBorders>
          </w:tcPr>
          <w:p w14:paraId="03A08FB1" w14:textId="77777777" w:rsidR="00953856" w:rsidRPr="005E29B9" w:rsidRDefault="00953856" w:rsidP="000402C2">
            <w:pPr>
              <w:rPr>
                <w:rFonts w:eastAsiaTheme="minorHAnsi"/>
              </w:rPr>
            </w:pPr>
            <w:r w:rsidRPr="005E29B9">
              <w:rPr>
                <w:rFonts w:eastAsiaTheme="minorHAnsi"/>
              </w:rPr>
              <w:t>03/01/2019</w:t>
            </w:r>
          </w:p>
        </w:tc>
        <w:tc>
          <w:tcPr>
            <w:tcW w:w="2709" w:type="dxa"/>
            <w:tcBorders>
              <w:top w:val="nil"/>
              <w:left w:val="nil"/>
              <w:bottom w:val="nil"/>
              <w:right w:val="nil"/>
            </w:tcBorders>
          </w:tcPr>
          <w:p w14:paraId="41B531F2" w14:textId="77777777" w:rsidR="00953856" w:rsidRPr="005E29B9" w:rsidRDefault="00953856" w:rsidP="000402C2">
            <w:pPr>
              <w:rPr>
                <w:rFonts w:eastAsiaTheme="minorHAnsi"/>
              </w:rPr>
            </w:pPr>
            <w:r w:rsidRPr="005E29B9">
              <w:rPr>
                <w:rFonts w:eastAsiaTheme="minorHAnsi"/>
              </w:rPr>
              <w:t>03/01/2022</w:t>
            </w:r>
          </w:p>
        </w:tc>
      </w:tr>
      <w:tr w:rsidR="00953856" w:rsidRPr="005E29B9" w14:paraId="59FCC5A0" w14:textId="77777777" w:rsidTr="000402C2">
        <w:trPr>
          <w:trHeight w:val="1276"/>
        </w:trPr>
        <w:tc>
          <w:tcPr>
            <w:tcW w:w="2717" w:type="dxa"/>
            <w:tcBorders>
              <w:top w:val="nil"/>
              <w:left w:val="nil"/>
              <w:bottom w:val="nil"/>
              <w:right w:val="nil"/>
            </w:tcBorders>
          </w:tcPr>
          <w:p w14:paraId="33972A94" w14:textId="77777777" w:rsidR="00953856" w:rsidRPr="005E29B9" w:rsidRDefault="00953856" w:rsidP="000402C2">
            <w:pPr>
              <w:keepNext/>
              <w:outlineLvl w:val="0"/>
              <w:rPr>
                <w:rFonts w:eastAsiaTheme="minorHAnsi"/>
                <w:b/>
                <w:i/>
              </w:rPr>
            </w:pPr>
            <w:r w:rsidRPr="005E29B9">
              <w:rPr>
                <w:rFonts w:eastAsiaTheme="minorHAnsi"/>
                <w:b/>
                <w:i/>
              </w:rPr>
              <w:t>Tamara Van Wyhe</w:t>
            </w:r>
          </w:p>
          <w:p w14:paraId="4949317A" w14:textId="77777777" w:rsidR="00953856" w:rsidRPr="005E29B9" w:rsidRDefault="00953856" w:rsidP="000402C2">
            <w:pPr>
              <w:rPr>
                <w:rFonts w:eastAsiaTheme="minorHAnsi"/>
              </w:rPr>
            </w:pPr>
            <w:r w:rsidRPr="005E29B9">
              <w:rPr>
                <w:rFonts w:eastAsiaTheme="minorHAnsi"/>
              </w:rPr>
              <w:t>Department Representative</w:t>
            </w:r>
          </w:p>
          <w:p w14:paraId="17FBFAA0" w14:textId="77777777" w:rsidR="00953856" w:rsidRPr="005E29B9" w:rsidRDefault="00953856" w:rsidP="000402C2">
            <w:pPr>
              <w:spacing w:line="360" w:lineRule="auto"/>
              <w:rPr>
                <w:rFonts w:eastAsiaTheme="minorHAnsi"/>
              </w:rPr>
            </w:pPr>
            <w:r w:rsidRPr="005E29B9">
              <w:rPr>
                <w:rFonts w:eastAsiaTheme="minorHAnsi"/>
              </w:rPr>
              <w:t>Copper Center (DEED)</w:t>
            </w:r>
          </w:p>
        </w:tc>
        <w:tc>
          <w:tcPr>
            <w:tcW w:w="2708" w:type="dxa"/>
            <w:tcBorders>
              <w:top w:val="nil"/>
              <w:left w:val="nil"/>
              <w:bottom w:val="nil"/>
              <w:right w:val="nil"/>
            </w:tcBorders>
          </w:tcPr>
          <w:p w14:paraId="38CA95C8" w14:textId="77777777" w:rsidR="00953856" w:rsidRPr="005E29B9" w:rsidRDefault="00953856" w:rsidP="000402C2">
            <w:pPr>
              <w:rPr>
                <w:rFonts w:eastAsiaTheme="minorHAnsi"/>
              </w:rPr>
            </w:pPr>
            <w:r w:rsidRPr="005E29B9">
              <w:rPr>
                <w:rFonts w:eastAsiaTheme="minorHAnsi"/>
              </w:rPr>
              <w:t>01/08/2019</w:t>
            </w:r>
          </w:p>
        </w:tc>
        <w:tc>
          <w:tcPr>
            <w:tcW w:w="2709" w:type="dxa"/>
            <w:tcBorders>
              <w:top w:val="nil"/>
              <w:left w:val="nil"/>
              <w:bottom w:val="nil"/>
              <w:right w:val="nil"/>
            </w:tcBorders>
          </w:tcPr>
          <w:p w14:paraId="4EE0E256" w14:textId="77777777" w:rsidR="00953856" w:rsidRPr="005E29B9" w:rsidRDefault="00953856" w:rsidP="000402C2">
            <w:pPr>
              <w:rPr>
                <w:rFonts w:eastAsiaTheme="minorHAnsi"/>
              </w:rPr>
            </w:pPr>
            <w:r w:rsidRPr="005E29B9">
              <w:rPr>
                <w:rFonts w:eastAsiaTheme="minorHAnsi"/>
              </w:rPr>
              <w:t>03/01/2019</w:t>
            </w:r>
          </w:p>
        </w:tc>
        <w:tc>
          <w:tcPr>
            <w:tcW w:w="2709" w:type="dxa"/>
            <w:tcBorders>
              <w:top w:val="nil"/>
              <w:left w:val="nil"/>
              <w:bottom w:val="nil"/>
              <w:right w:val="nil"/>
            </w:tcBorders>
          </w:tcPr>
          <w:p w14:paraId="2457DE6D" w14:textId="77777777" w:rsidR="00953856" w:rsidRPr="005E29B9" w:rsidRDefault="00953856" w:rsidP="000402C2">
            <w:pPr>
              <w:rPr>
                <w:rFonts w:eastAsiaTheme="minorHAnsi"/>
              </w:rPr>
            </w:pPr>
            <w:r w:rsidRPr="005E29B9">
              <w:rPr>
                <w:rFonts w:eastAsiaTheme="minorHAnsi"/>
              </w:rPr>
              <w:t>03/01/2022</w:t>
            </w:r>
          </w:p>
        </w:tc>
      </w:tr>
      <w:tr w:rsidR="00953856" w:rsidRPr="005E29B9" w14:paraId="0B9FB8D2" w14:textId="77777777" w:rsidTr="00040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6"/>
        </w:trPr>
        <w:tc>
          <w:tcPr>
            <w:tcW w:w="2717" w:type="dxa"/>
          </w:tcPr>
          <w:p w14:paraId="513676A5" w14:textId="684F3CC6" w:rsidR="00953856" w:rsidRPr="005E29B9" w:rsidRDefault="00953856" w:rsidP="000402C2">
            <w:pPr>
              <w:keepNext/>
              <w:outlineLvl w:val="0"/>
              <w:rPr>
                <w:rFonts w:eastAsiaTheme="minorHAnsi"/>
                <w:b/>
                <w:i/>
              </w:rPr>
            </w:pPr>
            <w:r>
              <w:rPr>
                <w:rFonts w:eastAsiaTheme="minorHAnsi"/>
                <w:b/>
                <w:i/>
              </w:rPr>
              <w:t>Jamie Burgess</w:t>
            </w:r>
            <w:r w:rsidR="00D26C64" w:rsidRPr="00D26C64">
              <w:rPr>
                <w:rFonts w:eastAsiaTheme="minorHAnsi"/>
                <w:bCs/>
                <w:i/>
              </w:rPr>
              <w:t xml:space="preserve">, </w:t>
            </w:r>
            <w:r w:rsidR="00D26C64" w:rsidRPr="00D26C64">
              <w:rPr>
                <w:rFonts w:eastAsiaTheme="minorHAnsi"/>
                <w:bCs/>
                <w:iCs/>
              </w:rPr>
              <w:t>Secretary</w:t>
            </w:r>
          </w:p>
          <w:p w14:paraId="31728AE2" w14:textId="77777777" w:rsidR="00953856" w:rsidRPr="005E29B9" w:rsidRDefault="00953856" w:rsidP="000402C2">
            <w:pPr>
              <w:rPr>
                <w:rFonts w:eastAsiaTheme="minorHAnsi"/>
              </w:rPr>
            </w:pPr>
            <w:r w:rsidRPr="005E29B9">
              <w:rPr>
                <w:rFonts w:eastAsiaTheme="minorHAnsi"/>
              </w:rPr>
              <w:t>Superintendent Representative</w:t>
            </w:r>
          </w:p>
          <w:p w14:paraId="1246CC02" w14:textId="257CF858" w:rsidR="00953856" w:rsidRPr="005E29B9" w:rsidRDefault="00953856" w:rsidP="000402C2">
            <w:pPr>
              <w:spacing w:line="360" w:lineRule="auto"/>
              <w:rPr>
                <w:rFonts w:eastAsiaTheme="minorHAnsi"/>
              </w:rPr>
            </w:pPr>
            <w:r>
              <w:rPr>
                <w:rFonts w:eastAsiaTheme="minorHAnsi"/>
              </w:rPr>
              <w:t>Nome (NPS)</w:t>
            </w:r>
          </w:p>
        </w:tc>
        <w:tc>
          <w:tcPr>
            <w:tcW w:w="2708" w:type="dxa"/>
          </w:tcPr>
          <w:p w14:paraId="410D1C47" w14:textId="100779C9" w:rsidR="00953856" w:rsidRPr="005E29B9" w:rsidRDefault="00953856" w:rsidP="000402C2">
            <w:pPr>
              <w:rPr>
                <w:rFonts w:eastAsiaTheme="minorHAnsi"/>
              </w:rPr>
            </w:pPr>
            <w:r w:rsidRPr="005E29B9">
              <w:rPr>
                <w:rFonts w:eastAsiaTheme="minorHAnsi"/>
              </w:rPr>
              <w:t>0</w:t>
            </w:r>
            <w:r>
              <w:rPr>
                <w:rFonts w:eastAsiaTheme="minorHAnsi"/>
              </w:rPr>
              <w:t>4</w:t>
            </w:r>
            <w:r w:rsidRPr="005E29B9">
              <w:rPr>
                <w:rFonts w:eastAsiaTheme="minorHAnsi"/>
              </w:rPr>
              <w:t>/</w:t>
            </w:r>
            <w:r>
              <w:rPr>
                <w:rFonts w:eastAsiaTheme="minorHAnsi"/>
              </w:rPr>
              <w:t>01</w:t>
            </w:r>
            <w:r w:rsidRPr="005E29B9">
              <w:rPr>
                <w:rFonts w:eastAsiaTheme="minorHAnsi"/>
              </w:rPr>
              <w:t>/20</w:t>
            </w:r>
            <w:r>
              <w:rPr>
                <w:rFonts w:eastAsiaTheme="minorHAnsi"/>
              </w:rPr>
              <w:t>20</w:t>
            </w:r>
          </w:p>
        </w:tc>
        <w:tc>
          <w:tcPr>
            <w:tcW w:w="2709" w:type="dxa"/>
          </w:tcPr>
          <w:p w14:paraId="2F02A86F" w14:textId="77777777" w:rsidR="00953856" w:rsidRPr="005E29B9" w:rsidRDefault="00953856" w:rsidP="000402C2">
            <w:pPr>
              <w:rPr>
                <w:rFonts w:eastAsiaTheme="minorHAnsi"/>
              </w:rPr>
            </w:pPr>
          </w:p>
        </w:tc>
        <w:tc>
          <w:tcPr>
            <w:tcW w:w="2709" w:type="dxa"/>
          </w:tcPr>
          <w:p w14:paraId="14047F98" w14:textId="383DAB97" w:rsidR="00953856" w:rsidRPr="005E29B9" w:rsidRDefault="00953856" w:rsidP="000402C2">
            <w:pPr>
              <w:rPr>
                <w:rFonts w:eastAsiaTheme="minorHAnsi"/>
              </w:rPr>
            </w:pPr>
            <w:r w:rsidRPr="005E29B9">
              <w:rPr>
                <w:rFonts w:eastAsiaTheme="minorHAnsi"/>
              </w:rPr>
              <w:t>03/01/202</w:t>
            </w:r>
            <w:r>
              <w:rPr>
                <w:rFonts w:eastAsiaTheme="minorHAnsi"/>
              </w:rPr>
              <w:t>3</w:t>
            </w:r>
          </w:p>
        </w:tc>
      </w:tr>
      <w:tr w:rsidR="00953856" w:rsidRPr="005E29B9" w14:paraId="3EBA142F" w14:textId="77777777" w:rsidTr="00040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2717" w:type="dxa"/>
            <w:tcBorders>
              <w:bottom w:val="single" w:sz="12" w:space="0" w:color="auto"/>
            </w:tcBorders>
          </w:tcPr>
          <w:p w14:paraId="09821886" w14:textId="09D4FB13" w:rsidR="00953856" w:rsidRPr="005E29B9" w:rsidRDefault="00953856" w:rsidP="000402C2">
            <w:pPr>
              <w:keepNext/>
              <w:outlineLvl w:val="0"/>
              <w:rPr>
                <w:rFonts w:eastAsiaTheme="minorHAnsi"/>
                <w:b/>
                <w:i/>
              </w:rPr>
            </w:pPr>
            <w:r w:rsidRPr="005E29B9">
              <w:rPr>
                <w:rFonts w:eastAsiaTheme="minorHAnsi"/>
                <w:b/>
                <w:i/>
              </w:rPr>
              <w:t>Lem Wheeles</w:t>
            </w:r>
            <w:r w:rsidR="00D26C64">
              <w:rPr>
                <w:rFonts w:eastAsiaTheme="minorHAnsi"/>
                <w:b/>
                <w:i/>
              </w:rPr>
              <w:t xml:space="preserve">, </w:t>
            </w:r>
            <w:r w:rsidR="00D26C64" w:rsidRPr="00D26C64">
              <w:rPr>
                <w:rFonts w:eastAsiaTheme="minorHAnsi"/>
                <w:bCs/>
                <w:iCs/>
              </w:rPr>
              <w:t>Vice Chair</w:t>
            </w:r>
          </w:p>
          <w:p w14:paraId="5EF3840D" w14:textId="77777777" w:rsidR="00953856" w:rsidRPr="005E29B9" w:rsidRDefault="00953856" w:rsidP="000402C2">
            <w:pPr>
              <w:rPr>
                <w:rFonts w:eastAsiaTheme="minorHAnsi"/>
              </w:rPr>
            </w:pPr>
            <w:r w:rsidRPr="005E29B9">
              <w:rPr>
                <w:rFonts w:eastAsiaTheme="minorHAnsi"/>
              </w:rPr>
              <w:t>Teacher Representative</w:t>
            </w:r>
          </w:p>
          <w:p w14:paraId="3F1DC97B" w14:textId="77777777" w:rsidR="00953856" w:rsidRPr="005E29B9" w:rsidRDefault="00953856" w:rsidP="000402C2">
            <w:pPr>
              <w:rPr>
                <w:rFonts w:eastAsiaTheme="minorHAnsi"/>
              </w:rPr>
            </w:pPr>
            <w:r w:rsidRPr="005E29B9">
              <w:rPr>
                <w:rFonts w:eastAsiaTheme="minorHAnsi"/>
              </w:rPr>
              <w:t>Anchorage (ASD)</w:t>
            </w:r>
          </w:p>
          <w:p w14:paraId="74C73697" w14:textId="77777777" w:rsidR="00953856" w:rsidRPr="005E29B9" w:rsidRDefault="00953856" w:rsidP="000402C2">
            <w:pPr>
              <w:jc w:val="center"/>
              <w:rPr>
                <w:rFonts w:eastAsiaTheme="minorHAnsi"/>
              </w:rPr>
            </w:pPr>
          </w:p>
        </w:tc>
        <w:tc>
          <w:tcPr>
            <w:tcW w:w="2708" w:type="dxa"/>
            <w:tcBorders>
              <w:bottom w:val="single" w:sz="12" w:space="0" w:color="auto"/>
            </w:tcBorders>
          </w:tcPr>
          <w:p w14:paraId="198646EE" w14:textId="77777777" w:rsidR="00953856" w:rsidRPr="005E29B9" w:rsidRDefault="00953856" w:rsidP="000402C2">
            <w:pPr>
              <w:rPr>
                <w:rFonts w:eastAsiaTheme="minorHAnsi"/>
              </w:rPr>
            </w:pPr>
            <w:r w:rsidRPr="005E29B9">
              <w:rPr>
                <w:rFonts w:eastAsiaTheme="minorHAnsi"/>
              </w:rPr>
              <w:t>5/21/2019</w:t>
            </w:r>
          </w:p>
        </w:tc>
        <w:tc>
          <w:tcPr>
            <w:tcW w:w="2709" w:type="dxa"/>
            <w:tcBorders>
              <w:bottom w:val="single" w:sz="12" w:space="0" w:color="auto"/>
            </w:tcBorders>
          </w:tcPr>
          <w:p w14:paraId="4F5BC68B" w14:textId="77777777" w:rsidR="00953856" w:rsidRPr="005E29B9" w:rsidRDefault="00953856" w:rsidP="000402C2">
            <w:pPr>
              <w:rPr>
                <w:rFonts w:eastAsiaTheme="minorHAnsi"/>
              </w:rPr>
            </w:pPr>
          </w:p>
        </w:tc>
        <w:tc>
          <w:tcPr>
            <w:tcW w:w="2709" w:type="dxa"/>
            <w:tcBorders>
              <w:bottom w:val="single" w:sz="12" w:space="0" w:color="auto"/>
            </w:tcBorders>
          </w:tcPr>
          <w:p w14:paraId="0EDC912D" w14:textId="77777777" w:rsidR="00953856" w:rsidRPr="005E29B9" w:rsidRDefault="00953856" w:rsidP="000402C2">
            <w:pPr>
              <w:rPr>
                <w:rFonts w:eastAsiaTheme="minorHAnsi"/>
              </w:rPr>
            </w:pPr>
            <w:r w:rsidRPr="005E29B9">
              <w:rPr>
                <w:rFonts w:eastAsiaTheme="minorHAnsi"/>
              </w:rPr>
              <w:t>03/01/2022</w:t>
            </w:r>
          </w:p>
        </w:tc>
      </w:tr>
      <w:tr w:rsidR="00953856" w:rsidRPr="005E29B9" w14:paraId="6B36FCDE" w14:textId="77777777" w:rsidTr="000402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8"/>
        </w:trPr>
        <w:tc>
          <w:tcPr>
            <w:tcW w:w="2717" w:type="dxa"/>
            <w:tcBorders>
              <w:top w:val="single" w:sz="12" w:space="0" w:color="auto"/>
            </w:tcBorders>
          </w:tcPr>
          <w:p w14:paraId="03A528B1" w14:textId="77777777" w:rsidR="00953856" w:rsidRPr="00ED7167" w:rsidRDefault="00953856" w:rsidP="000402C2">
            <w:pPr>
              <w:pStyle w:val="Heading2"/>
              <w:jc w:val="left"/>
              <w:outlineLvl w:val="1"/>
              <w:rPr>
                <w:rFonts w:ascii="Times New Roman" w:hAnsi="Times New Roman" w:cs="Times New Roman"/>
                <w:b/>
                <w:i/>
                <w:sz w:val="20"/>
                <w:szCs w:val="20"/>
              </w:rPr>
            </w:pPr>
            <w:r w:rsidRPr="00ED7167">
              <w:rPr>
                <w:rFonts w:ascii="Times New Roman" w:hAnsi="Times New Roman" w:cs="Times New Roman"/>
                <w:b/>
                <w:i/>
                <w:sz w:val="20"/>
                <w:szCs w:val="20"/>
              </w:rPr>
              <w:t>Melody Mann</w:t>
            </w:r>
          </w:p>
          <w:p w14:paraId="7216CB11" w14:textId="77777777" w:rsidR="00953856" w:rsidRPr="005E29B9" w:rsidRDefault="00953856" w:rsidP="000402C2">
            <w:pPr>
              <w:rPr>
                <w:rFonts w:eastAsiaTheme="minorHAnsi"/>
              </w:rPr>
            </w:pPr>
            <w:r w:rsidRPr="005E29B9">
              <w:rPr>
                <w:rFonts w:eastAsiaTheme="minorHAnsi"/>
              </w:rPr>
              <w:t>Executive Director</w:t>
            </w:r>
          </w:p>
          <w:p w14:paraId="6F7930ED" w14:textId="77777777" w:rsidR="00953856" w:rsidRPr="005E29B9" w:rsidRDefault="00953856" w:rsidP="000402C2">
            <w:pPr>
              <w:rPr>
                <w:rFonts w:eastAsiaTheme="minorHAnsi"/>
              </w:rPr>
            </w:pPr>
            <w:r w:rsidRPr="005E29B9">
              <w:rPr>
                <w:rFonts w:eastAsiaTheme="minorHAnsi"/>
              </w:rPr>
              <w:t>550 West 7</w:t>
            </w:r>
            <w:r w:rsidRPr="005E29B9">
              <w:rPr>
                <w:rFonts w:eastAsiaTheme="minorHAnsi"/>
                <w:vertAlign w:val="superscript"/>
              </w:rPr>
              <w:t>th</w:t>
            </w:r>
            <w:r w:rsidRPr="005E29B9">
              <w:rPr>
                <w:rFonts w:eastAsiaTheme="minorHAnsi"/>
              </w:rPr>
              <w:t xml:space="preserve"> Avenue, Suite 1240</w:t>
            </w:r>
          </w:p>
          <w:p w14:paraId="1756E7B7" w14:textId="77777777" w:rsidR="00953856" w:rsidRPr="005E29B9" w:rsidRDefault="00953856" w:rsidP="000402C2">
            <w:pPr>
              <w:rPr>
                <w:rFonts w:eastAsiaTheme="minorHAnsi"/>
              </w:rPr>
            </w:pPr>
            <w:r w:rsidRPr="005E29B9">
              <w:rPr>
                <w:rFonts w:eastAsiaTheme="minorHAnsi"/>
              </w:rPr>
              <w:t>Anchorage, AK 99501</w:t>
            </w:r>
          </w:p>
          <w:p w14:paraId="7C041571" w14:textId="77777777" w:rsidR="00953856" w:rsidRPr="005E29B9" w:rsidRDefault="00320AC4" w:rsidP="000402C2">
            <w:pPr>
              <w:rPr>
                <w:rFonts w:eastAsiaTheme="minorHAnsi"/>
              </w:rPr>
            </w:pPr>
            <w:hyperlink r:id="rId13" w:history="1">
              <w:r w:rsidR="00953856" w:rsidRPr="005E29B9">
                <w:rPr>
                  <w:rFonts w:eastAsiaTheme="minorHAnsi"/>
                  <w:color w:val="0563C1" w:themeColor="hyperlink"/>
                  <w:u w:val="single"/>
                </w:rPr>
                <w:t>melody.mann@alaska.gov</w:t>
              </w:r>
            </w:hyperlink>
          </w:p>
          <w:p w14:paraId="43B79892" w14:textId="77777777" w:rsidR="00953856" w:rsidRPr="005E29B9" w:rsidRDefault="00953856" w:rsidP="000402C2">
            <w:pPr>
              <w:rPr>
                <w:rFonts w:eastAsiaTheme="minorHAnsi"/>
              </w:rPr>
            </w:pPr>
            <w:r w:rsidRPr="005E29B9">
              <w:rPr>
                <w:rFonts w:eastAsiaTheme="minorHAnsi"/>
              </w:rPr>
              <w:t>907-269-6579</w:t>
            </w:r>
          </w:p>
        </w:tc>
        <w:tc>
          <w:tcPr>
            <w:tcW w:w="2708" w:type="dxa"/>
            <w:tcBorders>
              <w:top w:val="single" w:sz="12" w:space="0" w:color="auto"/>
            </w:tcBorders>
          </w:tcPr>
          <w:p w14:paraId="7564F114" w14:textId="77777777" w:rsidR="00953856" w:rsidRPr="007F1E1A" w:rsidRDefault="00953856" w:rsidP="000402C2">
            <w:pPr>
              <w:pStyle w:val="Header"/>
              <w:tabs>
                <w:tab w:val="clear" w:pos="4680"/>
                <w:tab w:val="clear" w:pos="9360"/>
              </w:tabs>
              <w:spacing w:before="240"/>
              <w:rPr>
                <w:rFonts w:eastAsiaTheme="minorHAnsi"/>
              </w:rPr>
            </w:pPr>
            <w:r w:rsidRPr="007F1E1A">
              <w:rPr>
                <w:rFonts w:eastAsiaTheme="minorHAnsi"/>
              </w:rPr>
              <w:t>06/01/2018</w:t>
            </w:r>
          </w:p>
        </w:tc>
        <w:tc>
          <w:tcPr>
            <w:tcW w:w="2709" w:type="dxa"/>
            <w:tcBorders>
              <w:top w:val="single" w:sz="12" w:space="0" w:color="auto"/>
            </w:tcBorders>
          </w:tcPr>
          <w:p w14:paraId="3C817684" w14:textId="77777777" w:rsidR="00953856" w:rsidRPr="005E29B9" w:rsidRDefault="00953856" w:rsidP="000402C2">
            <w:pPr>
              <w:rPr>
                <w:rFonts w:eastAsiaTheme="minorHAnsi"/>
              </w:rPr>
            </w:pPr>
          </w:p>
        </w:tc>
        <w:tc>
          <w:tcPr>
            <w:tcW w:w="2709" w:type="dxa"/>
            <w:tcBorders>
              <w:top w:val="single" w:sz="12" w:space="0" w:color="auto"/>
            </w:tcBorders>
          </w:tcPr>
          <w:p w14:paraId="4DAC6F4F" w14:textId="4E093169" w:rsidR="00953856" w:rsidRPr="007F1E1A" w:rsidRDefault="00953856" w:rsidP="000402C2">
            <w:pPr>
              <w:pStyle w:val="Header"/>
              <w:tabs>
                <w:tab w:val="clear" w:pos="4680"/>
                <w:tab w:val="clear" w:pos="9360"/>
              </w:tabs>
              <w:spacing w:before="240"/>
              <w:rPr>
                <w:rFonts w:eastAsiaTheme="minorHAnsi"/>
              </w:rPr>
            </w:pPr>
            <w:r w:rsidRPr="007F1E1A">
              <w:rPr>
                <w:rFonts w:eastAsiaTheme="minorHAnsi"/>
              </w:rPr>
              <w:t>06/30/20</w:t>
            </w:r>
            <w:r>
              <w:rPr>
                <w:rFonts w:eastAsiaTheme="minorHAnsi"/>
              </w:rPr>
              <w:t>21</w:t>
            </w:r>
          </w:p>
        </w:tc>
      </w:tr>
    </w:tbl>
    <w:p w14:paraId="51996E38" w14:textId="77777777" w:rsidR="005055A5" w:rsidRDefault="005055A5" w:rsidP="000402C2"/>
    <w:sectPr w:rsidR="005055A5" w:rsidSect="00F01E7A">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432"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DC097" w14:textId="77777777" w:rsidR="00EF0FA7" w:rsidRDefault="00EF0FA7" w:rsidP="00EF0FA7">
      <w:r>
        <w:separator/>
      </w:r>
    </w:p>
  </w:endnote>
  <w:endnote w:type="continuationSeparator" w:id="0">
    <w:p w14:paraId="3FBD94B1" w14:textId="77777777" w:rsidR="00EF0FA7" w:rsidRDefault="00EF0FA7" w:rsidP="00EF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C05F" w14:textId="77777777" w:rsidR="00AE74C1" w:rsidRDefault="00AE7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4917"/>
      <w:docPartObj>
        <w:docPartGallery w:val="Page Numbers (Bottom of Page)"/>
        <w:docPartUnique/>
      </w:docPartObj>
    </w:sdtPr>
    <w:sdtEndPr>
      <w:rPr>
        <w:noProof/>
      </w:rPr>
    </w:sdtEndPr>
    <w:sdtContent>
      <w:p w14:paraId="45FA1077" w14:textId="4AF66593" w:rsidR="00F01E7A" w:rsidRDefault="00F01E7A">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33ACE536" w14:textId="77777777" w:rsidR="00F01E7A" w:rsidRDefault="00F01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7DB8" w14:textId="77777777" w:rsidR="00AE74C1" w:rsidRDefault="00AE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5F62E" w14:textId="77777777" w:rsidR="00EF0FA7" w:rsidRDefault="00EF0FA7" w:rsidP="00EF0FA7">
      <w:r>
        <w:separator/>
      </w:r>
    </w:p>
  </w:footnote>
  <w:footnote w:type="continuationSeparator" w:id="0">
    <w:p w14:paraId="3D5ABB47" w14:textId="77777777" w:rsidR="00EF0FA7" w:rsidRDefault="00EF0FA7" w:rsidP="00EF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E88D" w14:textId="77777777" w:rsidR="00AE74C1" w:rsidRDefault="00AE7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1536" w14:textId="77777777" w:rsidR="00AE74C1" w:rsidRDefault="00AE7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833AF" w14:textId="77777777" w:rsidR="00AE74C1" w:rsidRDefault="00AE7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F21DB"/>
    <w:multiLevelType w:val="hybridMultilevel"/>
    <w:tmpl w:val="167270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8E028CB"/>
    <w:multiLevelType w:val="hybridMultilevel"/>
    <w:tmpl w:val="0DE45B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84582"/>
    <w:multiLevelType w:val="hybridMultilevel"/>
    <w:tmpl w:val="101439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6"/>
    <w:rsid w:val="00010FF6"/>
    <w:rsid w:val="000402C2"/>
    <w:rsid w:val="00055E7F"/>
    <w:rsid w:val="00107BFD"/>
    <w:rsid w:val="00123ED2"/>
    <w:rsid w:val="00127C64"/>
    <w:rsid w:val="00151D8B"/>
    <w:rsid w:val="00250B1D"/>
    <w:rsid w:val="002E7C84"/>
    <w:rsid w:val="003163B1"/>
    <w:rsid w:val="00320AC4"/>
    <w:rsid w:val="0047388A"/>
    <w:rsid w:val="005055A5"/>
    <w:rsid w:val="00526323"/>
    <w:rsid w:val="005673C8"/>
    <w:rsid w:val="005D174E"/>
    <w:rsid w:val="00603BAF"/>
    <w:rsid w:val="00707417"/>
    <w:rsid w:val="007E00EF"/>
    <w:rsid w:val="00953856"/>
    <w:rsid w:val="00956BED"/>
    <w:rsid w:val="009C501C"/>
    <w:rsid w:val="00AE2705"/>
    <w:rsid w:val="00AE74C1"/>
    <w:rsid w:val="00B40B36"/>
    <w:rsid w:val="00B51B82"/>
    <w:rsid w:val="00B94B3A"/>
    <w:rsid w:val="00BD37BE"/>
    <w:rsid w:val="00C527B0"/>
    <w:rsid w:val="00D12FE3"/>
    <w:rsid w:val="00D26C64"/>
    <w:rsid w:val="00DC4E32"/>
    <w:rsid w:val="00DC7018"/>
    <w:rsid w:val="00E5127D"/>
    <w:rsid w:val="00EF0FA7"/>
    <w:rsid w:val="00F01E7A"/>
    <w:rsid w:val="00F86650"/>
    <w:rsid w:val="00FF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19D053"/>
  <w15:chartTrackingRefBased/>
  <w15:docId w15:val="{B7979D0D-4692-4686-B03B-E4870B27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856"/>
    <w:pPr>
      <w:spacing w:after="0" w:line="240" w:lineRule="auto"/>
    </w:pPr>
    <w:rPr>
      <w:rFonts w:ascii="Times New Roman" w:eastAsia="Times New Roman" w:hAnsi="Times New Roman" w:cs="Times New Roman"/>
      <w:color w:val="000000"/>
      <w:kern w:val="28"/>
      <w:sz w:val="20"/>
      <w:szCs w:val="20"/>
    </w:rPr>
  </w:style>
  <w:style w:type="paragraph" w:styleId="Heading1">
    <w:name w:val="heading 1"/>
    <w:link w:val="Heading1Char"/>
    <w:uiPriority w:val="9"/>
    <w:qFormat/>
    <w:rsid w:val="00953856"/>
    <w:pPr>
      <w:spacing w:after="0" w:line="480" w:lineRule="auto"/>
      <w:outlineLvl w:val="0"/>
    </w:pPr>
    <w:rPr>
      <w:rFonts w:ascii="Times New Roman" w:eastAsia="Times New Roman" w:hAnsi="Times New Roman" w:cs="Times New Roman"/>
      <w:b/>
      <w:bCs/>
      <w:i/>
      <w:iCs/>
      <w:color w:val="000000"/>
      <w:kern w:val="28"/>
      <w:sz w:val="28"/>
      <w:szCs w:val="28"/>
    </w:rPr>
  </w:style>
  <w:style w:type="paragraph" w:styleId="Heading2">
    <w:name w:val="heading 2"/>
    <w:basedOn w:val="Normal"/>
    <w:next w:val="Normal"/>
    <w:link w:val="Heading2Char"/>
    <w:uiPriority w:val="9"/>
    <w:unhideWhenUsed/>
    <w:qFormat/>
    <w:rsid w:val="00953856"/>
    <w:pPr>
      <w:keepNext/>
      <w:keepLines/>
      <w:spacing w:before="120" w:after="120"/>
      <w:jc w:val="center"/>
      <w:outlineLvl w:val="1"/>
    </w:pPr>
    <w:rPr>
      <w:rFonts w:asciiTheme="minorHAnsi" w:eastAsiaTheme="majorEastAsia" w:hAnsiTheme="minorHAnsi" w:cstheme="majorBidi"/>
      <w:color w:val="auto"/>
      <w:sz w:val="24"/>
      <w:szCs w:val="26"/>
    </w:rPr>
  </w:style>
  <w:style w:type="paragraph" w:styleId="Heading3">
    <w:name w:val="heading 3"/>
    <w:basedOn w:val="Normal"/>
    <w:next w:val="Normal"/>
    <w:link w:val="Heading3Char"/>
    <w:uiPriority w:val="9"/>
    <w:unhideWhenUsed/>
    <w:qFormat/>
    <w:rsid w:val="00953856"/>
    <w:pPr>
      <w:keepNext/>
      <w:keepLines/>
      <w:spacing w:before="40"/>
      <w:jc w:val="center"/>
      <w:outlineLvl w:val="2"/>
    </w:pPr>
    <w:rPr>
      <w:rFonts w:asciiTheme="majorHAnsi" w:hAnsiTheme="majorHAnsi" w:cstheme="maj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856"/>
    <w:rPr>
      <w:rFonts w:ascii="Times New Roman" w:eastAsia="Times New Roman" w:hAnsi="Times New Roman" w:cs="Times New Roman"/>
      <w:b/>
      <w:bCs/>
      <w:i/>
      <w:iCs/>
      <w:color w:val="000000"/>
      <w:kern w:val="28"/>
      <w:sz w:val="28"/>
      <w:szCs w:val="28"/>
    </w:rPr>
  </w:style>
  <w:style w:type="character" w:customStyle="1" w:styleId="Heading2Char">
    <w:name w:val="Heading 2 Char"/>
    <w:basedOn w:val="DefaultParagraphFont"/>
    <w:link w:val="Heading2"/>
    <w:uiPriority w:val="9"/>
    <w:rsid w:val="00953856"/>
    <w:rPr>
      <w:rFonts w:eastAsiaTheme="majorEastAsia" w:cstheme="majorBidi"/>
      <w:kern w:val="28"/>
      <w:sz w:val="24"/>
      <w:szCs w:val="26"/>
    </w:rPr>
  </w:style>
  <w:style w:type="character" w:customStyle="1" w:styleId="Heading3Char">
    <w:name w:val="Heading 3 Char"/>
    <w:basedOn w:val="DefaultParagraphFont"/>
    <w:link w:val="Heading3"/>
    <w:uiPriority w:val="9"/>
    <w:rsid w:val="00953856"/>
    <w:rPr>
      <w:rFonts w:asciiTheme="majorHAnsi" w:eastAsia="Times New Roman" w:hAnsiTheme="majorHAnsi" w:cstheme="majorBidi"/>
      <w:kern w:val="28"/>
      <w:sz w:val="24"/>
      <w:szCs w:val="24"/>
    </w:rPr>
  </w:style>
  <w:style w:type="paragraph" w:styleId="Footer">
    <w:name w:val="footer"/>
    <w:basedOn w:val="Normal"/>
    <w:link w:val="FooterChar"/>
    <w:uiPriority w:val="99"/>
    <w:rsid w:val="00953856"/>
    <w:pPr>
      <w:tabs>
        <w:tab w:val="center" w:pos="4680"/>
        <w:tab w:val="right" w:pos="9360"/>
      </w:tabs>
    </w:pPr>
  </w:style>
  <w:style w:type="character" w:customStyle="1" w:styleId="FooterChar">
    <w:name w:val="Footer Char"/>
    <w:basedOn w:val="DefaultParagraphFont"/>
    <w:link w:val="Footer"/>
    <w:uiPriority w:val="99"/>
    <w:rsid w:val="00953856"/>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953856"/>
    <w:pPr>
      <w:ind w:left="720"/>
      <w:contextualSpacing/>
    </w:pPr>
  </w:style>
  <w:style w:type="character" w:styleId="Hyperlink">
    <w:name w:val="Hyperlink"/>
    <w:basedOn w:val="DefaultParagraphFont"/>
    <w:unhideWhenUsed/>
    <w:rsid w:val="00953856"/>
    <w:rPr>
      <w:color w:val="0563C1" w:themeColor="hyperlink"/>
      <w:u w:val="single"/>
    </w:rPr>
  </w:style>
  <w:style w:type="paragraph" w:styleId="BodyText">
    <w:name w:val="Body Text"/>
    <w:basedOn w:val="Normal"/>
    <w:link w:val="BodyTextChar"/>
    <w:uiPriority w:val="99"/>
    <w:unhideWhenUsed/>
    <w:rsid w:val="00953856"/>
    <w:rPr>
      <w:sz w:val="24"/>
      <w:szCs w:val="24"/>
    </w:rPr>
  </w:style>
  <w:style w:type="character" w:customStyle="1" w:styleId="BodyTextChar">
    <w:name w:val="Body Text Char"/>
    <w:basedOn w:val="DefaultParagraphFont"/>
    <w:link w:val="BodyText"/>
    <w:uiPriority w:val="99"/>
    <w:rsid w:val="00953856"/>
    <w:rPr>
      <w:rFonts w:ascii="Times New Roman" w:eastAsia="Times New Roman" w:hAnsi="Times New Roman" w:cs="Times New Roman"/>
      <w:color w:val="000000"/>
      <w:kern w:val="28"/>
      <w:sz w:val="24"/>
      <w:szCs w:val="24"/>
    </w:rPr>
  </w:style>
  <w:style w:type="table" w:styleId="TableGrid">
    <w:name w:val="Table Grid"/>
    <w:basedOn w:val="TableNormal"/>
    <w:uiPriority w:val="39"/>
    <w:rsid w:val="0095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3856"/>
    <w:pPr>
      <w:tabs>
        <w:tab w:val="center" w:pos="4680"/>
        <w:tab w:val="right" w:pos="9360"/>
      </w:tabs>
    </w:pPr>
    <w:rPr>
      <w:rFonts w:asciiTheme="minorHAnsi" w:eastAsiaTheme="minorEastAsia" w:hAnsiTheme="minorHAnsi" w:cstheme="minorBidi"/>
      <w:color w:val="auto"/>
      <w:kern w:val="0"/>
      <w:sz w:val="22"/>
      <w:szCs w:val="22"/>
    </w:rPr>
  </w:style>
  <w:style w:type="character" w:customStyle="1" w:styleId="HeaderChar">
    <w:name w:val="Header Char"/>
    <w:basedOn w:val="DefaultParagraphFont"/>
    <w:link w:val="Header"/>
    <w:uiPriority w:val="99"/>
    <w:rsid w:val="00953856"/>
    <w:rPr>
      <w:rFonts w:eastAsiaTheme="minorEastAsia"/>
    </w:rPr>
  </w:style>
  <w:style w:type="paragraph" w:styleId="BodyText2">
    <w:name w:val="Body Text 2"/>
    <w:basedOn w:val="Normal"/>
    <w:link w:val="BodyText2Char"/>
    <w:uiPriority w:val="99"/>
    <w:unhideWhenUsed/>
    <w:rsid w:val="00953856"/>
    <w:pPr>
      <w:widowControl w:val="0"/>
      <w:spacing w:after="240"/>
    </w:pPr>
    <w:rPr>
      <w:sz w:val="25"/>
      <w:szCs w:val="25"/>
    </w:rPr>
  </w:style>
  <w:style w:type="character" w:customStyle="1" w:styleId="BodyText2Char">
    <w:name w:val="Body Text 2 Char"/>
    <w:basedOn w:val="DefaultParagraphFont"/>
    <w:link w:val="BodyText2"/>
    <w:uiPriority w:val="99"/>
    <w:rsid w:val="00953856"/>
    <w:rPr>
      <w:rFonts w:ascii="Times New Roman" w:eastAsia="Times New Roman" w:hAnsi="Times New Roman" w:cs="Times New Roman"/>
      <w:color w:val="000000"/>
      <w:kern w:val="28"/>
      <w:sz w:val="25"/>
      <w:szCs w:val="25"/>
    </w:rPr>
  </w:style>
  <w:style w:type="paragraph" w:styleId="Title">
    <w:name w:val="Title"/>
    <w:basedOn w:val="Normal"/>
    <w:next w:val="Normal"/>
    <w:link w:val="TitleChar"/>
    <w:uiPriority w:val="10"/>
    <w:qFormat/>
    <w:rsid w:val="00953856"/>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953856"/>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953856"/>
    <w:pPr>
      <w:jc w:val="center"/>
    </w:pPr>
    <w:rPr>
      <w:i/>
    </w:rPr>
  </w:style>
  <w:style w:type="character" w:customStyle="1" w:styleId="Style1Char">
    <w:name w:val="Style1 Char"/>
    <w:basedOn w:val="DefaultParagraphFont"/>
    <w:link w:val="Style1"/>
    <w:rsid w:val="00953856"/>
    <w:rPr>
      <w:rFonts w:ascii="Times New Roman" w:eastAsia="Times New Roman" w:hAnsi="Times New Roman" w:cs="Times New Roman"/>
      <w:i/>
      <w:color w:val="000000"/>
      <w:kern w:val="28"/>
      <w:sz w:val="20"/>
      <w:szCs w:val="20"/>
    </w:rPr>
  </w:style>
  <w:style w:type="paragraph" w:styleId="BalloonText">
    <w:name w:val="Balloon Text"/>
    <w:basedOn w:val="Normal"/>
    <w:link w:val="BalloonTextChar"/>
    <w:uiPriority w:val="99"/>
    <w:semiHidden/>
    <w:unhideWhenUsed/>
    <w:rsid w:val="00603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BAF"/>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elody.mann@alask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ducation.alaska.gov/ptp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ducation.alaska.gov/ptpc/"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25808790475776E-2"/>
          <c:y val="0.21188387791920457"/>
          <c:w val="0.967741935483871"/>
          <c:h val="0.76019575856443722"/>
        </c:manualLayout>
      </c:layout>
      <c:bar3DChart>
        <c:barDir val="col"/>
        <c:grouping val="clustered"/>
        <c:varyColors val="0"/>
        <c:ser>
          <c:idx val="0"/>
          <c:order val="0"/>
          <c:tx>
            <c:strRef>
              <c:f>Sheet1!$A$2:$B$2</c:f>
              <c:strCache>
                <c:ptCount val="2"/>
                <c:pt idx="0">
                  <c:v>PTPC Cases by Year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Sheet1!$C$1:$M$1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Sheet1!$C$2:$M$2</c:f>
              <c:numCache>
                <c:formatCode>General</c:formatCode>
                <c:ptCount val="11"/>
                <c:pt idx="0">
                  <c:v>80</c:v>
                </c:pt>
                <c:pt idx="1">
                  <c:v>73</c:v>
                </c:pt>
                <c:pt idx="2">
                  <c:v>63</c:v>
                </c:pt>
                <c:pt idx="3">
                  <c:v>57</c:v>
                </c:pt>
                <c:pt idx="4">
                  <c:v>69</c:v>
                </c:pt>
                <c:pt idx="5">
                  <c:v>83</c:v>
                </c:pt>
                <c:pt idx="6">
                  <c:v>54</c:v>
                </c:pt>
                <c:pt idx="7">
                  <c:v>55</c:v>
                </c:pt>
                <c:pt idx="8">
                  <c:v>60</c:v>
                </c:pt>
                <c:pt idx="9">
                  <c:v>53</c:v>
                </c:pt>
                <c:pt idx="10">
                  <c:v>46</c:v>
                </c:pt>
              </c:numCache>
            </c:numRef>
          </c:val>
          <c:extLst>
            <c:ext xmlns:c16="http://schemas.microsoft.com/office/drawing/2014/chart" uri="{C3380CC4-5D6E-409C-BE32-E72D297353CC}">
              <c16:uniqueId val="{00000000-E480-495B-95F7-D4776CBFD381}"/>
            </c:ext>
          </c:extLst>
        </c:ser>
        <c:dLbls>
          <c:showLegendKey val="0"/>
          <c:showVal val="1"/>
          <c:showCatName val="0"/>
          <c:showSerName val="0"/>
          <c:showPercent val="0"/>
          <c:showBubbleSize val="0"/>
        </c:dLbls>
        <c:gapWidth val="100"/>
        <c:gapDepth val="100"/>
        <c:shape val="box"/>
        <c:axId val="441506368"/>
        <c:axId val="441507152"/>
        <c:axId val="0"/>
      </c:bar3DChart>
      <c:catAx>
        <c:axId val="441506368"/>
        <c:scaling>
          <c:orientation val="minMax"/>
        </c:scaling>
        <c:delete val="0"/>
        <c:axPos val="b"/>
        <c:numFmt formatCode="General" sourceLinked="0"/>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441507152"/>
        <c:crosses val="autoZero"/>
        <c:auto val="1"/>
        <c:lblAlgn val="ctr"/>
        <c:lblOffset val="100"/>
        <c:tickLblSkip val="1"/>
        <c:tickMarkSkip val="1"/>
        <c:noMultiLvlLbl val="0"/>
      </c:catAx>
      <c:valAx>
        <c:axId val="44150715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en-US"/>
          </a:p>
        </c:txPr>
        <c:crossAx val="441506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a:latin typeface="+mj-lt"/>
              </a:rPr>
              <a:t>Sanctions Ordered by Year</a:t>
            </a:r>
          </a:p>
        </c:rich>
      </c:tx>
      <c:layout>
        <c:manualLayout>
          <c:xMode val="edge"/>
          <c:yMode val="edge"/>
          <c:x val="0.33011058451816744"/>
          <c:y val="1.88235294117647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84326100458817E-2"/>
          <c:y val="0.1194524959742351"/>
          <c:w val="0.87948243874095888"/>
          <c:h val="0.72250117286063886"/>
        </c:manualLayout>
      </c:layout>
      <c:barChart>
        <c:barDir val="bar"/>
        <c:grouping val="clustered"/>
        <c:varyColors val="0"/>
        <c:ser>
          <c:idx val="0"/>
          <c:order val="0"/>
          <c:tx>
            <c:strRef>
              <c:f>Sheet1!$B$1</c:f>
              <c:strCache>
                <c:ptCount val="1"/>
                <c:pt idx="0">
                  <c:v>Revocations/Surrenders</c:v>
                </c:pt>
              </c:strCache>
            </c:strRef>
          </c:tx>
          <c:spPr>
            <a:solidFill>
              <a:schemeClr val="accent1">
                <a:lumMod val="50000"/>
              </a:schemeClr>
            </a:solidFill>
            <a:ln>
              <a:noFill/>
            </a:ln>
            <a:effectLst/>
          </c:spPr>
          <c:invertIfNegative val="0"/>
          <c:cat>
            <c:strLit>
              <c:ptCount val="6"/>
              <c:pt idx="0">
                <c:v>FY 2020</c:v>
              </c:pt>
              <c:pt idx="1">
                <c:v> FY 2019</c:v>
              </c:pt>
              <c:pt idx="2">
                <c:v> Fy 2018</c:v>
              </c:pt>
              <c:pt idx="3">
                <c:v> FY 2017</c:v>
              </c:pt>
              <c:pt idx="4">
                <c:v> FY 2016</c:v>
              </c:pt>
              <c:pt idx="5">
                <c:v> FY 2015</c:v>
              </c:pt>
            </c:strLit>
          </c:cat>
          <c:val>
            <c:numRef>
              <c:f>Sheet1!$B$2:$B$6</c:f>
              <c:numCache>
                <c:formatCode>General</c:formatCode>
                <c:ptCount val="5"/>
                <c:pt idx="0">
                  <c:v>7</c:v>
                </c:pt>
                <c:pt idx="1">
                  <c:v>2</c:v>
                </c:pt>
                <c:pt idx="2">
                  <c:v>2</c:v>
                </c:pt>
                <c:pt idx="3">
                  <c:v>0</c:v>
                </c:pt>
                <c:pt idx="4">
                  <c:v>5</c:v>
                </c:pt>
              </c:numCache>
            </c:numRef>
          </c:val>
          <c:extLst>
            <c:ext xmlns:c16="http://schemas.microsoft.com/office/drawing/2014/chart" uri="{C3380CC4-5D6E-409C-BE32-E72D297353CC}">
              <c16:uniqueId val="{00000000-BCFD-4B53-8981-1177B7784B4C}"/>
            </c:ext>
          </c:extLst>
        </c:ser>
        <c:ser>
          <c:idx val="1"/>
          <c:order val="1"/>
          <c:tx>
            <c:strRef>
              <c:f>Sheet1!$C$1</c:f>
              <c:strCache>
                <c:ptCount val="1"/>
                <c:pt idx="0">
                  <c:v>Suspensions</c:v>
                </c:pt>
              </c:strCache>
            </c:strRef>
          </c:tx>
          <c:spPr>
            <a:solidFill>
              <a:schemeClr val="accent2">
                <a:lumMod val="75000"/>
              </a:schemeClr>
            </a:solidFill>
            <a:ln>
              <a:noFill/>
            </a:ln>
            <a:effectLst/>
          </c:spPr>
          <c:invertIfNegative val="0"/>
          <c:cat>
            <c:strLit>
              <c:ptCount val="6"/>
              <c:pt idx="0">
                <c:v>FY 2020</c:v>
              </c:pt>
              <c:pt idx="1">
                <c:v> FY 2019</c:v>
              </c:pt>
              <c:pt idx="2">
                <c:v> Fy 2018</c:v>
              </c:pt>
              <c:pt idx="3">
                <c:v> FY 2017</c:v>
              </c:pt>
              <c:pt idx="4">
                <c:v> FY 2016</c:v>
              </c:pt>
              <c:pt idx="5">
                <c:v> FY 2015</c:v>
              </c:pt>
            </c:strLit>
          </c:cat>
          <c:val>
            <c:numRef>
              <c:f>Sheet1!$C$2:$C$6</c:f>
              <c:numCache>
                <c:formatCode>General</c:formatCode>
                <c:ptCount val="5"/>
                <c:pt idx="0">
                  <c:v>6</c:v>
                </c:pt>
                <c:pt idx="1">
                  <c:v>7</c:v>
                </c:pt>
                <c:pt idx="2">
                  <c:v>6</c:v>
                </c:pt>
                <c:pt idx="3">
                  <c:v>7</c:v>
                </c:pt>
                <c:pt idx="4">
                  <c:v>9</c:v>
                </c:pt>
              </c:numCache>
            </c:numRef>
          </c:val>
          <c:extLst>
            <c:ext xmlns:c16="http://schemas.microsoft.com/office/drawing/2014/chart" uri="{C3380CC4-5D6E-409C-BE32-E72D297353CC}">
              <c16:uniqueId val="{00000001-BCFD-4B53-8981-1177B7784B4C}"/>
            </c:ext>
          </c:extLst>
        </c:ser>
        <c:ser>
          <c:idx val="2"/>
          <c:order val="2"/>
          <c:tx>
            <c:strRef>
              <c:f>Sheet1!$D$1</c:f>
              <c:strCache>
                <c:ptCount val="1"/>
                <c:pt idx="0">
                  <c:v>Reprimands</c:v>
                </c:pt>
              </c:strCache>
            </c:strRef>
          </c:tx>
          <c:spPr>
            <a:solidFill>
              <a:schemeClr val="accent6">
                <a:lumMod val="60000"/>
                <a:lumOff val="40000"/>
              </a:schemeClr>
            </a:solidFill>
            <a:ln>
              <a:noFill/>
            </a:ln>
            <a:effectLst/>
          </c:spPr>
          <c:invertIfNegative val="0"/>
          <c:cat>
            <c:strLit>
              <c:ptCount val="6"/>
              <c:pt idx="0">
                <c:v>FY 2020</c:v>
              </c:pt>
              <c:pt idx="1">
                <c:v> FY 2019</c:v>
              </c:pt>
              <c:pt idx="2">
                <c:v> Fy 2018</c:v>
              </c:pt>
              <c:pt idx="3">
                <c:v> FY 2017</c:v>
              </c:pt>
              <c:pt idx="4">
                <c:v> FY 2016</c:v>
              </c:pt>
              <c:pt idx="5">
                <c:v> FY 2015</c:v>
              </c:pt>
            </c:strLit>
          </c:cat>
          <c:val>
            <c:numRef>
              <c:f>Sheet1!$D$2:$D$6</c:f>
              <c:numCache>
                <c:formatCode>General</c:formatCode>
                <c:ptCount val="5"/>
                <c:pt idx="0">
                  <c:v>0</c:v>
                </c:pt>
                <c:pt idx="1">
                  <c:v>5</c:v>
                </c:pt>
                <c:pt idx="2">
                  <c:v>5</c:v>
                </c:pt>
                <c:pt idx="3">
                  <c:v>2</c:v>
                </c:pt>
                <c:pt idx="4">
                  <c:v>3</c:v>
                </c:pt>
              </c:numCache>
            </c:numRef>
          </c:val>
          <c:extLst>
            <c:ext xmlns:c16="http://schemas.microsoft.com/office/drawing/2014/chart" uri="{C3380CC4-5D6E-409C-BE32-E72D297353CC}">
              <c16:uniqueId val="{00000002-BCFD-4B53-8981-1177B7784B4C}"/>
            </c:ext>
          </c:extLst>
        </c:ser>
        <c:ser>
          <c:idx val="3"/>
          <c:order val="3"/>
          <c:tx>
            <c:strRef>
              <c:f>Sheet1!$E$1</c:f>
              <c:strCache>
                <c:ptCount val="1"/>
                <c:pt idx="0">
                  <c:v>Warnings</c:v>
                </c:pt>
              </c:strCache>
            </c:strRef>
          </c:tx>
          <c:spPr>
            <a:solidFill>
              <a:srgbClr val="FFFF00"/>
            </a:solidFill>
            <a:ln>
              <a:noFill/>
            </a:ln>
            <a:effectLst/>
          </c:spPr>
          <c:invertIfNegative val="0"/>
          <c:cat>
            <c:strLit>
              <c:ptCount val="6"/>
              <c:pt idx="0">
                <c:v>FY 2020</c:v>
              </c:pt>
              <c:pt idx="1">
                <c:v> FY 2019</c:v>
              </c:pt>
              <c:pt idx="2">
                <c:v> Fy 2018</c:v>
              </c:pt>
              <c:pt idx="3">
                <c:v> FY 2017</c:v>
              </c:pt>
              <c:pt idx="4">
                <c:v> FY 2016</c:v>
              </c:pt>
              <c:pt idx="5">
                <c:v> FY 2015</c:v>
              </c:pt>
            </c:strLit>
          </c:cat>
          <c:val>
            <c:numRef>
              <c:f>Sheet1!$E$2:$E$6</c:f>
              <c:numCache>
                <c:formatCode>General</c:formatCode>
                <c:ptCount val="5"/>
                <c:pt idx="0">
                  <c:v>5</c:v>
                </c:pt>
                <c:pt idx="1">
                  <c:v>0</c:v>
                </c:pt>
                <c:pt idx="2">
                  <c:v>3</c:v>
                </c:pt>
                <c:pt idx="3">
                  <c:v>3</c:v>
                </c:pt>
                <c:pt idx="4">
                  <c:v>3</c:v>
                </c:pt>
              </c:numCache>
            </c:numRef>
          </c:val>
          <c:extLst>
            <c:ext xmlns:c16="http://schemas.microsoft.com/office/drawing/2014/chart" uri="{C3380CC4-5D6E-409C-BE32-E72D297353CC}">
              <c16:uniqueId val="{00000003-BCFD-4B53-8981-1177B7784B4C}"/>
            </c:ext>
          </c:extLst>
        </c:ser>
        <c:dLbls>
          <c:showLegendKey val="0"/>
          <c:showVal val="0"/>
          <c:showCatName val="0"/>
          <c:showSerName val="0"/>
          <c:showPercent val="0"/>
          <c:showBubbleSize val="0"/>
        </c:dLbls>
        <c:gapWidth val="182"/>
        <c:axId val="453107456"/>
        <c:axId val="453106144"/>
      </c:barChart>
      <c:catAx>
        <c:axId val="453107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106144"/>
        <c:crosses val="autoZero"/>
        <c:auto val="1"/>
        <c:lblAlgn val="ctr"/>
        <c:lblOffset val="100"/>
        <c:noMultiLvlLbl val="0"/>
      </c:catAx>
      <c:valAx>
        <c:axId val="453106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1074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6700-B0AA-474F-A11A-35F759AA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Melody L (EED)</dc:creator>
  <cp:keywords/>
  <dc:description/>
  <cp:lastModifiedBy>Melody Mann</cp:lastModifiedBy>
  <cp:revision>5</cp:revision>
  <cp:lastPrinted>2020-10-16T21:47:00Z</cp:lastPrinted>
  <dcterms:created xsi:type="dcterms:W3CDTF">2020-10-16T21:54:00Z</dcterms:created>
  <dcterms:modified xsi:type="dcterms:W3CDTF">2020-10-20T00:23:00Z</dcterms:modified>
</cp:coreProperties>
</file>