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07FB4" w14:textId="77777777" w:rsidR="00AC4491" w:rsidRDefault="00AC4491" w:rsidP="005E096E">
      <w:pPr>
        <w:spacing w:after="0" w:line="480" w:lineRule="auto"/>
        <w:rPr>
          <w:bCs/>
        </w:rPr>
      </w:pPr>
    </w:p>
    <w:p w14:paraId="351E5BF9" w14:textId="2A929450" w:rsidR="0020785D" w:rsidRPr="002D302B" w:rsidRDefault="0020785D" w:rsidP="005E096E">
      <w:pPr>
        <w:spacing w:after="0" w:line="480" w:lineRule="auto"/>
        <w:rPr>
          <w:bCs/>
        </w:rPr>
      </w:pPr>
      <w:r w:rsidRPr="002D302B">
        <w:rPr>
          <w:bCs/>
        </w:rPr>
        <w:t>4 AAC 31.013</w:t>
      </w:r>
      <w:r w:rsidR="00AC4491">
        <w:rPr>
          <w:bCs/>
        </w:rPr>
        <w:t>(a)</w:t>
      </w:r>
      <w:r w:rsidRPr="002D302B">
        <w:rPr>
          <w:bCs/>
        </w:rPr>
        <w:t xml:space="preserve"> </w:t>
      </w:r>
      <w:r w:rsidR="005E096E" w:rsidRPr="002D302B">
        <w:rPr>
          <w:bCs/>
        </w:rPr>
        <w:t xml:space="preserve">is amended </w:t>
      </w:r>
      <w:r w:rsidR="002D302B" w:rsidRPr="002D302B">
        <w:rPr>
          <w:bCs/>
        </w:rPr>
        <w:t>to read:</w:t>
      </w:r>
    </w:p>
    <w:p w14:paraId="68BB2391" w14:textId="342CD308" w:rsidR="0020785D" w:rsidRDefault="0020785D" w:rsidP="005E096E">
      <w:pPr>
        <w:spacing w:after="0" w:line="480" w:lineRule="auto"/>
      </w:pPr>
      <w:r>
        <w:rPr>
          <w:b/>
          <w:bCs/>
        </w:rPr>
        <w:tab/>
      </w:r>
      <w:r>
        <w:t xml:space="preserve">(a) For a district to be eligible for state aid under </w:t>
      </w:r>
      <w:r w:rsidRPr="0007062E">
        <w:t>AS 14.11.011</w:t>
      </w:r>
      <w:r w:rsidR="00357E8E">
        <w:t xml:space="preserve"> </w:t>
      </w:r>
      <w:r w:rsidR="00357E8E" w:rsidRPr="00357E8E">
        <w:rPr>
          <w:b/>
          <w:u w:val="single"/>
        </w:rPr>
        <w:t>or AS 14.11.100</w:t>
      </w:r>
      <w:r>
        <w:t xml:space="preserve">, the district must have a facility management program that addresses the following five elements of facility and maintenance management: </w:t>
      </w:r>
    </w:p>
    <w:p w14:paraId="74F75C81" w14:textId="77777777" w:rsidR="00E327C5" w:rsidRDefault="0020785D" w:rsidP="00E327C5">
      <w:pPr>
        <w:tabs>
          <w:tab w:val="left" w:pos="1440"/>
        </w:tabs>
        <w:spacing w:after="0" w:line="480" w:lineRule="auto"/>
      </w:pPr>
      <w:r>
        <w:tab/>
        <w:t>(1) a formal maintenance management program that records maintenance activities on a work order basis, and tracks the timing and cost, including labor and materials, of maintenance activities in sufficient detail to produce reports of planned and completed work;</w:t>
      </w:r>
    </w:p>
    <w:p w14:paraId="1A11B142" w14:textId="40DA1812" w:rsidR="0020785D" w:rsidRDefault="0020785D" w:rsidP="00E327C5">
      <w:pPr>
        <w:spacing w:after="0" w:line="480" w:lineRule="auto"/>
        <w:ind w:left="720" w:firstLine="720"/>
      </w:pPr>
      <w:r>
        <w:t>(2) an energy management plan that includes</w:t>
      </w:r>
    </w:p>
    <w:p w14:paraId="33C9DF5C" w14:textId="2B47EA11" w:rsidR="0020785D" w:rsidRDefault="0020785D" w:rsidP="00E327C5">
      <w:pPr>
        <w:spacing w:after="0" w:line="480" w:lineRule="auto"/>
        <w:ind w:left="720"/>
      </w:pPr>
      <w:r>
        <w:tab/>
      </w:r>
      <w:r>
        <w:tab/>
      </w:r>
      <w:r w:rsidRPr="0007062E">
        <w:rPr>
          <w:b/>
          <w:u w:val="single"/>
        </w:rPr>
        <w:t>(A)</w:t>
      </w:r>
      <w:r>
        <w:t xml:space="preserve"> </w:t>
      </w:r>
      <w:r w:rsidR="00357E8E" w:rsidRPr="00357E8E">
        <w:rPr>
          <w:b/>
          <w:u w:val="single"/>
        </w:rPr>
        <w:t>the</w:t>
      </w:r>
      <w:r w:rsidR="00357E8E">
        <w:t xml:space="preserve"> </w:t>
      </w:r>
      <w:r w:rsidRPr="00357E8E">
        <w:t>recording</w:t>
      </w:r>
      <w:r>
        <w:t xml:space="preserve"> </w:t>
      </w:r>
      <w:r w:rsidR="00357E8E" w:rsidRPr="00357E8E">
        <w:rPr>
          <w:b/>
          <w:u w:val="single"/>
        </w:rPr>
        <w:t>of</w:t>
      </w:r>
      <w:r w:rsidR="00357E8E">
        <w:t xml:space="preserve"> </w:t>
      </w:r>
      <w:r>
        <w:t>energy consumption for all utilities on a monthly basis for each building; for facilities constructed before December 15, 2004, a district may record energy consumption for utilities on a monthly basis when multiple buildings are served by one utility plant</w:t>
      </w:r>
      <w:r w:rsidR="00DA6DF7">
        <w:rPr>
          <w:b/>
          <w:u w:val="single"/>
        </w:rPr>
        <w:t>;</w:t>
      </w:r>
      <w:r w:rsidR="00DA6DF7" w:rsidRPr="0007062E">
        <w:rPr>
          <w:b/>
          <w:u w:val="single"/>
        </w:rPr>
        <w:t xml:space="preserve"> </w:t>
      </w:r>
      <w:r w:rsidRPr="0007062E">
        <w:rPr>
          <w:b/>
          <w:u w:val="single"/>
        </w:rPr>
        <w:t>and</w:t>
      </w:r>
    </w:p>
    <w:p w14:paraId="628A909B" w14:textId="73D31C56" w:rsidR="0020785D" w:rsidRDefault="0020785D" w:rsidP="005E096E">
      <w:pPr>
        <w:spacing w:after="0" w:line="480" w:lineRule="auto"/>
        <w:ind w:left="720"/>
      </w:pPr>
      <w:r>
        <w:tab/>
      </w:r>
      <w:r>
        <w:tab/>
      </w:r>
      <w:r w:rsidRPr="0007062E">
        <w:rPr>
          <w:b/>
          <w:u w:val="single"/>
        </w:rPr>
        <w:t>(B)</w:t>
      </w:r>
      <w:r>
        <w:rPr>
          <w:b/>
          <w:u w:val="single"/>
        </w:rPr>
        <w:t xml:space="preserve"> regular evaluati</w:t>
      </w:r>
      <w:r w:rsidR="00357E8E">
        <w:rPr>
          <w:b/>
          <w:u w:val="single"/>
        </w:rPr>
        <w:t>on of</w:t>
      </w:r>
      <w:r>
        <w:rPr>
          <w:b/>
          <w:u w:val="single"/>
        </w:rPr>
        <w:t xml:space="preserve"> the effectiveness of and need for commissioning existing buildings</w:t>
      </w:r>
      <w:r>
        <w:t>;</w:t>
      </w:r>
    </w:p>
    <w:p w14:paraId="78DA6F62" w14:textId="4F27BEA5" w:rsidR="0020785D" w:rsidRDefault="0020785D" w:rsidP="005E096E">
      <w:pPr>
        <w:spacing w:after="0" w:line="480" w:lineRule="auto"/>
      </w:pPr>
      <w:r>
        <w:tab/>
      </w:r>
      <w:r>
        <w:tab/>
        <w:t>(3) a custodial program that includes a schedule of custodial activities for each building based on type of work and scope of effort;</w:t>
      </w:r>
    </w:p>
    <w:p w14:paraId="6EF00413" w14:textId="584A7511" w:rsidR="0020785D" w:rsidRDefault="0020785D" w:rsidP="005E096E">
      <w:pPr>
        <w:spacing w:after="0" w:line="480" w:lineRule="auto"/>
      </w:pPr>
      <w:r>
        <w:tab/>
      </w:r>
      <w:r>
        <w:tab/>
        <w:t>(4) a maintenance training program that specifies training for custodial and maintenance staff and records training received by each person; and</w:t>
      </w:r>
    </w:p>
    <w:p w14:paraId="08D94850" w14:textId="71E147AB" w:rsidR="0020785D" w:rsidRDefault="0020785D" w:rsidP="005E096E">
      <w:pPr>
        <w:spacing w:after="0" w:line="480" w:lineRule="auto"/>
      </w:pPr>
      <w:r>
        <w:tab/>
      </w:r>
      <w:r>
        <w:tab/>
        <w:t xml:space="preserve">(5) a renewal and replacement schedule that, for each school facility of permanent construction over 1,000 gross square feet, identifies the construction cost of major building systems, including electrical, mechanical, structural and other components; evaluates and </w:t>
      </w:r>
      <w:r>
        <w:lastRenderedPageBreak/>
        <w:t>establishes the life-expectancy of those systems; compares life-expectancy to the age and condition of the systems; and uses the data to forecast a renewal and replacement</w:t>
      </w:r>
      <w:r w:rsidR="00E327C5">
        <w:t xml:space="preserve"> year and cost for each system.</w:t>
      </w:r>
    </w:p>
    <w:p w14:paraId="5B02F238" w14:textId="78F039CC" w:rsidR="005E096E" w:rsidRPr="00B70511" w:rsidRDefault="005E096E" w:rsidP="005E096E">
      <w:pPr>
        <w:spacing w:after="0" w:line="480" w:lineRule="auto"/>
        <w:rPr>
          <w:rFonts w:eastAsia="Times New Roman" w:cs="Times New Roman"/>
          <w:szCs w:val="24"/>
        </w:rPr>
      </w:pPr>
      <w:r>
        <w:t>(</w:t>
      </w:r>
      <w:r w:rsidRPr="00B70511">
        <w:rPr>
          <w:rFonts w:eastAsia="Times New Roman" w:cs="Times New Roman"/>
          <w:bCs/>
          <w:szCs w:val="24"/>
        </w:rPr>
        <w:t>Eff. 7/13/2000, Register 155; am 12/19/2002, Register 164; am __/__/__, Register ____</w:t>
      </w:r>
      <w:r>
        <w:rPr>
          <w:rFonts w:eastAsia="Times New Roman" w:cs="Times New Roman"/>
          <w:bCs/>
          <w:szCs w:val="24"/>
        </w:rPr>
        <w:t>)</w:t>
      </w:r>
    </w:p>
    <w:p w14:paraId="1B1324F7" w14:textId="77777777" w:rsidR="005E096E" w:rsidRPr="00FD5299" w:rsidRDefault="005E096E" w:rsidP="005E096E">
      <w:pPr>
        <w:tabs>
          <w:tab w:val="left" w:pos="1440"/>
          <w:tab w:val="left" w:pos="3960"/>
          <w:tab w:val="left" w:pos="6480"/>
        </w:tabs>
        <w:spacing w:after="0" w:line="480" w:lineRule="auto"/>
        <w:rPr>
          <w:rFonts w:eastAsia="Times New Roman" w:cs="Times New Roman"/>
          <w:bCs/>
          <w:szCs w:val="24"/>
        </w:rPr>
      </w:pPr>
      <w:r>
        <w:rPr>
          <w:rFonts w:eastAsia="Times New Roman" w:cs="Times New Roman"/>
          <w:b/>
          <w:bCs/>
          <w:szCs w:val="24"/>
        </w:rPr>
        <w:t>Authority:</w:t>
      </w:r>
      <w:r>
        <w:rPr>
          <w:rFonts w:eastAsia="Times New Roman" w:cs="Times New Roman"/>
          <w:b/>
          <w:bCs/>
          <w:szCs w:val="24"/>
        </w:rPr>
        <w:tab/>
      </w:r>
      <w:r w:rsidRPr="00FD5299">
        <w:rPr>
          <w:rFonts w:eastAsia="Times New Roman" w:cs="Times New Roman"/>
          <w:bCs/>
          <w:szCs w:val="24"/>
        </w:rPr>
        <w:t xml:space="preserve">AS 14.07.060  </w:t>
      </w:r>
      <w:r>
        <w:rPr>
          <w:rFonts w:eastAsia="Times New Roman" w:cs="Times New Roman"/>
          <w:bCs/>
          <w:szCs w:val="24"/>
        </w:rPr>
        <w:tab/>
      </w:r>
      <w:r w:rsidRPr="00FD5299">
        <w:rPr>
          <w:rFonts w:eastAsia="Times New Roman" w:cs="Times New Roman"/>
          <w:bCs/>
          <w:szCs w:val="24"/>
        </w:rPr>
        <w:t>AS 14.11.015</w:t>
      </w:r>
      <w:r>
        <w:rPr>
          <w:rFonts w:eastAsia="Times New Roman" w:cs="Times New Roman"/>
          <w:bCs/>
          <w:szCs w:val="24"/>
        </w:rPr>
        <w:tab/>
      </w:r>
      <w:r w:rsidRPr="00FD5299">
        <w:rPr>
          <w:rFonts w:eastAsia="Times New Roman" w:cs="Times New Roman"/>
          <w:bCs/>
          <w:szCs w:val="24"/>
        </w:rPr>
        <w:t>AS 14.11.100</w:t>
      </w:r>
    </w:p>
    <w:p w14:paraId="487DCA4F" w14:textId="77777777" w:rsidR="005E096E" w:rsidRPr="00FD5299" w:rsidRDefault="005E096E" w:rsidP="005E096E">
      <w:pPr>
        <w:tabs>
          <w:tab w:val="left" w:pos="1440"/>
          <w:tab w:val="left" w:pos="3960"/>
          <w:tab w:val="left" w:pos="6480"/>
        </w:tabs>
        <w:spacing w:after="0" w:line="480" w:lineRule="auto"/>
        <w:rPr>
          <w:rFonts w:eastAsia="Times New Roman" w:cs="Times New Roman"/>
          <w:bCs/>
          <w:szCs w:val="24"/>
        </w:rPr>
      </w:pPr>
      <w:r>
        <w:rPr>
          <w:rFonts w:eastAsia="Times New Roman" w:cs="Times New Roman"/>
          <w:bCs/>
          <w:szCs w:val="24"/>
        </w:rPr>
        <w:tab/>
      </w:r>
      <w:r w:rsidRPr="00FD5299">
        <w:rPr>
          <w:rFonts w:eastAsia="Times New Roman" w:cs="Times New Roman"/>
          <w:bCs/>
          <w:szCs w:val="24"/>
        </w:rPr>
        <w:t xml:space="preserve">AS 14.11.011  </w:t>
      </w:r>
      <w:r>
        <w:rPr>
          <w:rFonts w:eastAsia="Times New Roman" w:cs="Times New Roman"/>
          <w:bCs/>
          <w:szCs w:val="24"/>
        </w:rPr>
        <w:tab/>
      </w:r>
      <w:r w:rsidRPr="00FD5299">
        <w:rPr>
          <w:rFonts w:eastAsia="Times New Roman" w:cs="Times New Roman"/>
          <w:bCs/>
          <w:szCs w:val="24"/>
        </w:rPr>
        <w:t>AS 14.11.017</w:t>
      </w:r>
      <w:r>
        <w:rPr>
          <w:rFonts w:eastAsia="Times New Roman" w:cs="Times New Roman"/>
          <w:bCs/>
          <w:szCs w:val="24"/>
        </w:rPr>
        <w:tab/>
      </w:r>
      <w:r w:rsidRPr="00FD5299">
        <w:rPr>
          <w:rFonts w:eastAsia="Times New Roman" w:cs="Times New Roman"/>
          <w:bCs/>
          <w:szCs w:val="24"/>
        </w:rPr>
        <w:t>AS 14.11.132</w:t>
      </w:r>
    </w:p>
    <w:p w14:paraId="1CC7037B" w14:textId="2358EDA4" w:rsidR="005E096E" w:rsidRPr="00FD5299" w:rsidRDefault="005E096E" w:rsidP="005E096E">
      <w:pPr>
        <w:tabs>
          <w:tab w:val="left" w:pos="1440"/>
          <w:tab w:val="left" w:pos="3960"/>
          <w:tab w:val="left" w:pos="6480"/>
        </w:tabs>
        <w:spacing w:after="0" w:line="480" w:lineRule="auto"/>
        <w:rPr>
          <w:rFonts w:eastAsia="Times New Roman" w:cs="Times New Roman"/>
          <w:bCs/>
          <w:szCs w:val="24"/>
        </w:rPr>
      </w:pPr>
      <w:r>
        <w:rPr>
          <w:rFonts w:eastAsia="Times New Roman" w:cs="Times New Roman"/>
          <w:bCs/>
          <w:szCs w:val="24"/>
        </w:rPr>
        <w:tab/>
      </w:r>
      <w:r w:rsidRPr="00FD5299">
        <w:rPr>
          <w:rFonts w:eastAsia="Times New Roman" w:cs="Times New Roman"/>
          <w:bCs/>
          <w:szCs w:val="24"/>
        </w:rPr>
        <w:t>AS 14.11.013</w:t>
      </w:r>
      <w:bookmarkStart w:id="0" w:name="_GoBack"/>
      <w:bookmarkEnd w:id="0"/>
    </w:p>
    <w:p w14:paraId="1EFC4445" w14:textId="1AA22F72" w:rsidR="0020785D" w:rsidRDefault="0020785D" w:rsidP="005E096E">
      <w:pPr>
        <w:spacing w:after="0" w:line="480" w:lineRule="auto"/>
      </w:pPr>
    </w:p>
    <w:p w14:paraId="2C1EC4B9" w14:textId="41CE034B" w:rsidR="007448AE" w:rsidRPr="002D302B" w:rsidRDefault="007448AE" w:rsidP="005E096E">
      <w:pPr>
        <w:spacing w:after="0" w:line="480" w:lineRule="auto"/>
        <w:rPr>
          <w:bCs/>
        </w:rPr>
      </w:pPr>
      <w:r w:rsidRPr="002D302B">
        <w:rPr>
          <w:bCs/>
        </w:rPr>
        <w:t>4 AAC 31.065</w:t>
      </w:r>
      <w:r w:rsidR="00AC4491">
        <w:rPr>
          <w:bCs/>
        </w:rPr>
        <w:t>(a)</w:t>
      </w:r>
      <w:r w:rsidR="002D302B" w:rsidRPr="002D302B">
        <w:rPr>
          <w:bCs/>
        </w:rPr>
        <w:t xml:space="preserve"> is amended to read:</w:t>
      </w:r>
      <w:r w:rsidRPr="002D302B">
        <w:rPr>
          <w:bCs/>
        </w:rPr>
        <w:t xml:space="preserve"> </w:t>
      </w:r>
    </w:p>
    <w:p w14:paraId="336DB165" w14:textId="44837DA9" w:rsidR="007448AE" w:rsidRDefault="007448AE" w:rsidP="005E096E">
      <w:pPr>
        <w:spacing w:after="0" w:line="480" w:lineRule="auto"/>
      </w:pPr>
      <w:r>
        <w:rPr>
          <w:b/>
          <w:bCs/>
        </w:rPr>
        <w:tab/>
      </w:r>
      <w:r>
        <w:t xml:space="preserve">(a) If a school district determines that it is necessary to engage the services of a private consultant to </w:t>
      </w:r>
      <w:r w:rsidR="00357E8E" w:rsidRPr="00357E8E">
        <w:rPr>
          <w:b/>
          <w:u w:val="single"/>
        </w:rPr>
        <w:t>provide</w:t>
      </w:r>
      <w:r w:rsidR="00357E8E">
        <w:t xml:space="preserve"> </w:t>
      </w:r>
      <w:r>
        <w:t>design</w:t>
      </w:r>
      <w:r w:rsidR="00357E8E">
        <w:rPr>
          <w:b/>
          <w:u w:val="single"/>
        </w:rPr>
        <w:t>,</w:t>
      </w:r>
      <w:r w:rsidR="00357E8E">
        <w:t xml:space="preserve"> [OR PROVIDE]</w:t>
      </w:r>
      <w:r>
        <w:t xml:space="preserve"> </w:t>
      </w:r>
      <w:r w:rsidRPr="007448AE">
        <w:rPr>
          <w:b/>
          <w:u w:val="single"/>
        </w:rPr>
        <w:t>commissioning</w:t>
      </w:r>
      <w:r w:rsidR="00357E8E">
        <w:rPr>
          <w:b/>
          <w:u w:val="single"/>
        </w:rPr>
        <w:t>,</w:t>
      </w:r>
      <w:r w:rsidRPr="007448AE">
        <w:rPr>
          <w:b/>
          <w:u w:val="single"/>
        </w:rPr>
        <w:t xml:space="preserve"> or</w:t>
      </w:r>
      <w:r w:rsidRPr="007448AE">
        <w:t xml:space="preserve"> </w:t>
      </w:r>
      <w:r>
        <w:t xml:space="preserve">construction management </w:t>
      </w:r>
      <w:r w:rsidRPr="007448AE">
        <w:rPr>
          <w:b/>
          <w:u w:val="single"/>
        </w:rPr>
        <w:t>services</w:t>
      </w:r>
      <w:r>
        <w:t xml:space="preserve"> for an educational facility with money provided under </w:t>
      </w:r>
      <w:r w:rsidRPr="00D4608E">
        <w:t>AS 14.11.011</w:t>
      </w:r>
      <w:r>
        <w:t xml:space="preserve"> - </w:t>
      </w:r>
      <w:r w:rsidRPr="00D4608E">
        <w:t>AS 14.11.020</w:t>
      </w:r>
      <w:r>
        <w:t xml:space="preserve">, or for a project approved for reimbursement of costs under </w:t>
      </w:r>
      <w:r w:rsidRPr="00D4608E">
        <w:t>AS 14.11.100</w:t>
      </w:r>
      <w:r>
        <w:t xml:space="preserve">, and the estimated cost of the contract is more than $50,000, the selection of the consultant shall be accomplished by soliciting written proposals by advertising in a newspaper of general circulation at least 21 days before the proposals are due. The contract shall be awarded to the most qualified offeror, after evaluating the proposals submitted. </w:t>
      </w:r>
    </w:p>
    <w:p w14:paraId="4DA32A41" w14:textId="587ED933" w:rsidR="00266916" w:rsidRDefault="005E096E" w:rsidP="002D302B">
      <w:pPr>
        <w:tabs>
          <w:tab w:val="left" w:pos="1440"/>
          <w:tab w:val="left" w:pos="3960"/>
          <w:tab w:val="left" w:pos="6480"/>
        </w:tabs>
        <w:spacing w:after="0" w:line="480" w:lineRule="auto"/>
      </w:pPr>
      <w:r>
        <w:t>(E</w:t>
      </w:r>
      <w:r w:rsidRPr="00C71724">
        <w:t>ff. 12/2/83, Register 88; am 8/31/90, Register 115</w:t>
      </w:r>
      <w:r>
        <w:t xml:space="preserve">; am </w:t>
      </w:r>
      <w:r w:rsidRPr="00C71724">
        <w:t>__/__/__, Register ____</w:t>
      </w:r>
      <w:r>
        <w:t>)</w:t>
      </w:r>
      <w:r>
        <w:br/>
      </w:r>
      <w:r>
        <w:rPr>
          <w:b/>
        </w:rPr>
        <w:t>Authority:</w:t>
      </w:r>
      <w:r>
        <w:rPr>
          <w:b/>
        </w:rPr>
        <w:tab/>
      </w:r>
      <w:r>
        <w:t>AS 14.11.017</w:t>
      </w:r>
      <w:r>
        <w:tab/>
        <w:t>AS 14.11.020</w:t>
      </w:r>
      <w:r>
        <w:tab/>
        <w:t>AS 14.11.132</w:t>
      </w:r>
    </w:p>
    <w:p w14:paraId="14F3948C" w14:textId="77777777" w:rsidR="00CF69DD" w:rsidRDefault="00CF69DD" w:rsidP="005E096E">
      <w:pPr>
        <w:spacing w:after="0" w:line="480" w:lineRule="auto"/>
      </w:pPr>
    </w:p>
    <w:p w14:paraId="58663D99" w14:textId="2018C78F" w:rsidR="00AC4491" w:rsidRDefault="00AF143E" w:rsidP="00B21ABA">
      <w:pPr>
        <w:spacing w:after="0" w:line="480" w:lineRule="auto"/>
        <w:rPr>
          <w:rFonts w:eastAsia="Times New Roman" w:cs="Times New Roman"/>
          <w:bCs/>
          <w:szCs w:val="24"/>
        </w:rPr>
      </w:pPr>
      <w:r w:rsidRPr="00AF143E">
        <w:rPr>
          <w:rFonts w:eastAsia="Times New Roman" w:cs="Times New Roman"/>
          <w:szCs w:val="24"/>
        </w:rPr>
        <w:t xml:space="preserve">4 AAC 31.080 </w:t>
      </w:r>
      <w:r w:rsidRPr="00AF143E">
        <w:rPr>
          <w:rFonts w:eastAsia="Times New Roman" w:cs="Times New Roman"/>
          <w:bCs/>
          <w:szCs w:val="24"/>
        </w:rPr>
        <w:t xml:space="preserve">is amended by adding </w:t>
      </w:r>
      <w:r w:rsidR="000E0F24">
        <w:rPr>
          <w:rFonts w:eastAsia="Times New Roman" w:cs="Times New Roman"/>
          <w:bCs/>
          <w:szCs w:val="24"/>
        </w:rPr>
        <w:t xml:space="preserve">a </w:t>
      </w:r>
      <w:r w:rsidRPr="00AF143E">
        <w:rPr>
          <w:rFonts w:eastAsia="Times New Roman" w:cs="Times New Roman"/>
          <w:bCs/>
          <w:szCs w:val="24"/>
        </w:rPr>
        <w:t>new subsection to read:</w:t>
      </w:r>
    </w:p>
    <w:p w14:paraId="14AE832F" w14:textId="4840B5E1" w:rsidR="005E096E" w:rsidRDefault="00DA1749" w:rsidP="003207A3">
      <w:pPr>
        <w:spacing w:after="0" w:line="480" w:lineRule="auto"/>
      </w:pPr>
      <w:r w:rsidRPr="00DA1749">
        <w:rPr>
          <w:rFonts w:eastAsia="Times New Roman" w:cs="Times New Roman"/>
          <w:bCs/>
          <w:szCs w:val="24"/>
        </w:rPr>
        <w:lastRenderedPageBreak/>
        <w:tab/>
        <w:t>(</w:t>
      </w:r>
      <w:r>
        <w:rPr>
          <w:rFonts w:eastAsia="Times New Roman" w:cs="Times New Roman"/>
          <w:bCs/>
          <w:szCs w:val="24"/>
        </w:rPr>
        <w:t xml:space="preserve">i) </w:t>
      </w:r>
      <w:r w:rsidR="00220210">
        <w:rPr>
          <w:rFonts w:eastAsia="Times New Roman" w:cs="Times New Roman"/>
          <w:bCs/>
          <w:szCs w:val="24"/>
        </w:rPr>
        <w:t>A</w:t>
      </w:r>
      <w:r w:rsidR="00B21ABA" w:rsidRPr="00DA1749">
        <w:rPr>
          <w:rFonts w:eastAsia="Times New Roman" w:cs="Times New Roman"/>
          <w:bCs/>
          <w:szCs w:val="24"/>
        </w:rPr>
        <w:t xml:space="preserve"> school district shall </w:t>
      </w:r>
      <w:r w:rsidR="00220210">
        <w:rPr>
          <w:rFonts w:eastAsia="Times New Roman" w:cs="Times New Roman"/>
          <w:bCs/>
          <w:szCs w:val="24"/>
        </w:rPr>
        <w:t>perform</w:t>
      </w:r>
      <w:r w:rsidR="00B21ABA" w:rsidRPr="00DA1749">
        <w:rPr>
          <w:rFonts w:eastAsia="Times New Roman" w:cs="Times New Roman"/>
          <w:bCs/>
          <w:szCs w:val="24"/>
        </w:rPr>
        <w:t xml:space="preserve"> commissioning</w:t>
      </w:r>
      <w:r w:rsidR="00220210">
        <w:rPr>
          <w:rFonts w:eastAsia="Times New Roman" w:cs="Times New Roman"/>
          <w:bCs/>
          <w:szCs w:val="24"/>
        </w:rPr>
        <w:t xml:space="preserve"> of the systems included in </w:t>
      </w:r>
      <w:r w:rsidR="00225A35" w:rsidRPr="00DA1749">
        <w:rPr>
          <w:rFonts w:eastAsia="Times New Roman" w:cs="Times New Roman"/>
          <w:bCs/>
          <w:szCs w:val="24"/>
        </w:rPr>
        <w:t>a school capital project if the school capital project is an addition</w:t>
      </w:r>
      <w:r w:rsidR="00DA6DF7">
        <w:rPr>
          <w:rFonts w:eastAsia="Times New Roman" w:cs="Times New Roman"/>
          <w:bCs/>
          <w:szCs w:val="24"/>
        </w:rPr>
        <w:t xml:space="preserve"> of over 5000 square feet</w:t>
      </w:r>
      <w:r w:rsidR="00225A35" w:rsidRPr="00DA1749">
        <w:rPr>
          <w:rFonts w:eastAsia="Times New Roman" w:cs="Times New Roman"/>
          <w:bCs/>
          <w:szCs w:val="24"/>
        </w:rPr>
        <w:t xml:space="preserve"> or new construction </w:t>
      </w:r>
      <w:r w:rsidR="00E65663" w:rsidRPr="00DA1749">
        <w:rPr>
          <w:rFonts w:eastAsia="Times New Roman" w:cs="Times New Roman"/>
          <w:bCs/>
          <w:szCs w:val="24"/>
        </w:rPr>
        <w:t xml:space="preserve">of </w:t>
      </w:r>
      <w:r w:rsidR="00C63D69" w:rsidRPr="00DA1749">
        <w:rPr>
          <w:rFonts w:eastAsia="Times New Roman" w:cs="Times New Roman"/>
          <w:bCs/>
          <w:szCs w:val="24"/>
        </w:rPr>
        <w:t xml:space="preserve">an education-related facility </w:t>
      </w:r>
      <w:r w:rsidR="00C63D69">
        <w:rPr>
          <w:rFonts w:eastAsia="Times New Roman" w:cs="Times New Roman"/>
          <w:bCs/>
          <w:szCs w:val="24"/>
        </w:rPr>
        <w:t xml:space="preserve">that is </w:t>
      </w:r>
      <w:r w:rsidR="00E65663" w:rsidRPr="00DA1749">
        <w:rPr>
          <w:rFonts w:eastAsia="Times New Roman" w:cs="Times New Roman"/>
          <w:bCs/>
          <w:szCs w:val="24"/>
        </w:rPr>
        <w:t>over 5,000 square feet</w:t>
      </w:r>
      <w:r w:rsidR="00220210">
        <w:rPr>
          <w:rFonts w:eastAsia="Times New Roman" w:cs="Times New Roman"/>
          <w:bCs/>
          <w:szCs w:val="24"/>
        </w:rPr>
        <w:t xml:space="preserve">. </w:t>
      </w:r>
      <w:r w:rsidR="00E65663">
        <w:rPr>
          <w:rFonts w:eastAsia="Times New Roman" w:cs="Times New Roman"/>
          <w:bCs/>
          <w:szCs w:val="24"/>
        </w:rPr>
        <w:t xml:space="preserve">If the school capital project is a </w:t>
      </w:r>
      <w:r w:rsidR="00E65663" w:rsidRPr="00DA1749">
        <w:rPr>
          <w:rFonts w:eastAsia="Times New Roman" w:cs="Times New Roman"/>
          <w:bCs/>
          <w:szCs w:val="24"/>
        </w:rPr>
        <w:t xml:space="preserve">rehabilitation </w:t>
      </w:r>
      <w:r w:rsidR="00C63D69">
        <w:rPr>
          <w:rFonts w:eastAsia="Times New Roman" w:cs="Times New Roman"/>
          <w:bCs/>
          <w:szCs w:val="24"/>
        </w:rPr>
        <w:t xml:space="preserve">of </w:t>
      </w:r>
      <w:r w:rsidR="00C63D69" w:rsidRPr="00DA1749">
        <w:rPr>
          <w:rFonts w:eastAsia="Times New Roman" w:cs="Times New Roman"/>
          <w:bCs/>
          <w:szCs w:val="24"/>
        </w:rPr>
        <w:t xml:space="preserve">an education-related facility </w:t>
      </w:r>
      <w:r w:rsidR="00E65663" w:rsidRPr="00DA1749">
        <w:rPr>
          <w:rFonts w:eastAsia="Times New Roman" w:cs="Times New Roman"/>
          <w:bCs/>
          <w:szCs w:val="24"/>
        </w:rPr>
        <w:t>over 10,000 square feet</w:t>
      </w:r>
      <w:r w:rsidR="00E65663">
        <w:rPr>
          <w:rFonts w:eastAsia="Times New Roman" w:cs="Times New Roman"/>
          <w:bCs/>
          <w:szCs w:val="24"/>
        </w:rPr>
        <w:t>, a</w:t>
      </w:r>
      <w:r w:rsidR="00F61E33">
        <w:rPr>
          <w:rFonts w:eastAsia="Times New Roman" w:cs="Times New Roman"/>
          <w:bCs/>
          <w:szCs w:val="24"/>
        </w:rPr>
        <w:t xml:space="preserve"> school district shall perform commissioning of </w:t>
      </w:r>
      <w:r w:rsidR="00F61E33" w:rsidRPr="00DA1749">
        <w:rPr>
          <w:rFonts w:eastAsia="Times New Roman" w:cs="Times New Roman"/>
          <w:bCs/>
          <w:szCs w:val="24"/>
        </w:rPr>
        <w:t>each system</w:t>
      </w:r>
      <w:r w:rsidR="00F61E33">
        <w:rPr>
          <w:rFonts w:eastAsia="Times New Roman" w:cs="Times New Roman"/>
          <w:bCs/>
          <w:szCs w:val="24"/>
        </w:rPr>
        <w:t xml:space="preserve"> </w:t>
      </w:r>
      <w:r w:rsidR="00F61E33" w:rsidRPr="00DA1749">
        <w:rPr>
          <w:rFonts w:eastAsia="Times New Roman" w:cs="Times New Roman"/>
          <w:bCs/>
          <w:szCs w:val="24"/>
        </w:rPr>
        <w:t xml:space="preserve">substantially upgraded in the </w:t>
      </w:r>
      <w:r w:rsidR="00F61E33">
        <w:rPr>
          <w:rFonts w:eastAsia="Times New Roman" w:cs="Times New Roman"/>
          <w:bCs/>
          <w:szCs w:val="24"/>
        </w:rPr>
        <w:t xml:space="preserve">school capital </w:t>
      </w:r>
      <w:r w:rsidR="00F61E33" w:rsidRPr="00DA1749">
        <w:rPr>
          <w:rFonts w:eastAsia="Times New Roman" w:cs="Times New Roman"/>
          <w:bCs/>
          <w:szCs w:val="24"/>
        </w:rPr>
        <w:t>project</w:t>
      </w:r>
      <w:r w:rsidR="00E65663">
        <w:rPr>
          <w:rFonts w:eastAsia="Times New Roman" w:cs="Times New Roman"/>
          <w:bCs/>
          <w:szCs w:val="24"/>
        </w:rPr>
        <w:t>.</w:t>
      </w:r>
      <w:r w:rsidR="00F61E33">
        <w:rPr>
          <w:rFonts w:eastAsia="Times New Roman" w:cs="Times New Roman"/>
          <w:bCs/>
          <w:szCs w:val="24"/>
        </w:rPr>
        <w:t xml:space="preserve"> </w:t>
      </w:r>
      <w:r>
        <w:rPr>
          <w:rFonts w:eastAsia="Times New Roman" w:cs="Times New Roman"/>
          <w:bCs/>
          <w:szCs w:val="24"/>
        </w:rPr>
        <w:t xml:space="preserve">A school district may </w:t>
      </w:r>
      <w:r w:rsidR="00E65663">
        <w:rPr>
          <w:rFonts w:eastAsia="Times New Roman" w:cs="Times New Roman"/>
          <w:bCs/>
          <w:szCs w:val="24"/>
        </w:rPr>
        <w:t>perform</w:t>
      </w:r>
      <w:r>
        <w:rPr>
          <w:rFonts w:eastAsia="Times New Roman" w:cs="Times New Roman"/>
          <w:bCs/>
          <w:szCs w:val="24"/>
        </w:rPr>
        <w:t xml:space="preserve"> commissioning for </w:t>
      </w:r>
      <w:r w:rsidR="00C63D69">
        <w:rPr>
          <w:rFonts w:eastAsia="Times New Roman" w:cs="Times New Roman"/>
          <w:bCs/>
          <w:szCs w:val="24"/>
        </w:rPr>
        <w:t xml:space="preserve">a </w:t>
      </w:r>
      <w:r>
        <w:rPr>
          <w:rFonts w:eastAsia="Times New Roman" w:cs="Times New Roman"/>
          <w:bCs/>
          <w:szCs w:val="24"/>
        </w:rPr>
        <w:t xml:space="preserve">rehabilitation </w:t>
      </w:r>
      <w:r w:rsidR="00554E05">
        <w:rPr>
          <w:rFonts w:eastAsia="Times New Roman" w:cs="Times New Roman"/>
          <w:bCs/>
          <w:szCs w:val="24"/>
        </w:rPr>
        <w:t>of</w:t>
      </w:r>
      <w:r w:rsidR="00DA6DF7">
        <w:rPr>
          <w:rFonts w:eastAsia="Times New Roman" w:cs="Times New Roman"/>
          <w:bCs/>
          <w:szCs w:val="24"/>
        </w:rPr>
        <w:t xml:space="preserve"> a</w:t>
      </w:r>
      <w:r w:rsidR="00C63D69">
        <w:rPr>
          <w:rFonts w:eastAsia="Times New Roman" w:cs="Times New Roman"/>
          <w:bCs/>
          <w:szCs w:val="24"/>
        </w:rPr>
        <w:t xml:space="preserve">n education-related facility </w:t>
      </w:r>
      <w:r w:rsidR="006D1FAC">
        <w:rPr>
          <w:rFonts w:eastAsia="Times New Roman" w:cs="Times New Roman"/>
          <w:bCs/>
          <w:szCs w:val="24"/>
        </w:rPr>
        <w:t>for</w:t>
      </w:r>
      <w:r w:rsidR="00F61E33">
        <w:rPr>
          <w:rFonts w:eastAsia="Times New Roman" w:cs="Times New Roman"/>
          <w:bCs/>
          <w:szCs w:val="24"/>
        </w:rPr>
        <w:t xml:space="preserve"> each system impacted by the </w:t>
      </w:r>
      <w:r w:rsidR="00E65663">
        <w:rPr>
          <w:rFonts w:eastAsia="Times New Roman" w:cs="Times New Roman"/>
          <w:bCs/>
          <w:szCs w:val="24"/>
        </w:rPr>
        <w:t>project</w:t>
      </w:r>
      <w:r w:rsidR="006D1FAC">
        <w:rPr>
          <w:rFonts w:eastAsia="Times New Roman" w:cs="Times New Roman"/>
          <w:bCs/>
          <w:szCs w:val="24"/>
        </w:rPr>
        <w:t xml:space="preserve"> </w:t>
      </w:r>
      <w:r w:rsidR="00E65663">
        <w:rPr>
          <w:rFonts w:eastAsia="Times New Roman" w:cs="Times New Roman"/>
          <w:bCs/>
          <w:szCs w:val="24"/>
        </w:rPr>
        <w:t xml:space="preserve">but </w:t>
      </w:r>
      <w:r w:rsidR="006D1FAC">
        <w:rPr>
          <w:rFonts w:eastAsia="Times New Roman" w:cs="Times New Roman"/>
          <w:bCs/>
          <w:szCs w:val="24"/>
        </w:rPr>
        <w:t xml:space="preserve">not substantially upgraded in the rehabilitation. </w:t>
      </w:r>
      <w:r>
        <w:rPr>
          <w:rFonts w:eastAsia="Times New Roman" w:cs="Times New Roman"/>
          <w:bCs/>
          <w:szCs w:val="24"/>
        </w:rPr>
        <w:t xml:space="preserve"> </w:t>
      </w:r>
      <w:r w:rsidR="003207A3">
        <w:rPr>
          <w:rFonts w:eastAsia="Times New Roman" w:cs="Times New Roman"/>
          <w:bCs/>
          <w:szCs w:val="24"/>
        </w:rPr>
        <w:t>Commissioning required under this subsection must include the services of a commissioning agent.</w:t>
      </w:r>
      <w:r w:rsidR="00C63D69">
        <w:rPr>
          <w:rFonts w:eastAsia="Times New Roman" w:cs="Times New Roman"/>
          <w:bCs/>
          <w:szCs w:val="24"/>
        </w:rPr>
        <w:t xml:space="preserve"> Commissioning permitted under this subsection for </w:t>
      </w:r>
      <w:r w:rsidR="00554E05">
        <w:rPr>
          <w:rFonts w:eastAsia="Times New Roman" w:cs="Times New Roman"/>
          <w:bCs/>
          <w:szCs w:val="24"/>
        </w:rPr>
        <w:t xml:space="preserve">a </w:t>
      </w:r>
      <w:r w:rsidR="00C63D69">
        <w:rPr>
          <w:rFonts w:eastAsia="Times New Roman" w:cs="Times New Roman"/>
          <w:bCs/>
          <w:szCs w:val="24"/>
        </w:rPr>
        <w:t xml:space="preserve">system </w:t>
      </w:r>
      <w:r w:rsidR="00554E05">
        <w:rPr>
          <w:rFonts w:eastAsia="Times New Roman" w:cs="Times New Roman"/>
          <w:bCs/>
          <w:szCs w:val="24"/>
        </w:rPr>
        <w:t xml:space="preserve">that is </w:t>
      </w:r>
      <w:r w:rsidR="00C63D69">
        <w:rPr>
          <w:rFonts w:eastAsia="Times New Roman" w:cs="Times New Roman"/>
          <w:bCs/>
          <w:szCs w:val="24"/>
        </w:rPr>
        <w:t>impacted by</w:t>
      </w:r>
      <w:r w:rsidR="00554E05">
        <w:rPr>
          <w:rFonts w:eastAsia="Times New Roman" w:cs="Times New Roman"/>
          <w:bCs/>
          <w:szCs w:val="24"/>
        </w:rPr>
        <w:t xml:space="preserve"> </w:t>
      </w:r>
      <w:r w:rsidR="00C63D69">
        <w:rPr>
          <w:rFonts w:eastAsia="Times New Roman" w:cs="Times New Roman"/>
          <w:bCs/>
          <w:szCs w:val="24"/>
        </w:rPr>
        <w:t>a rehabilitation project</w:t>
      </w:r>
      <w:r w:rsidR="00554E05">
        <w:rPr>
          <w:rFonts w:eastAsia="Times New Roman" w:cs="Times New Roman"/>
          <w:bCs/>
          <w:szCs w:val="24"/>
        </w:rPr>
        <w:t xml:space="preserve"> but not substantially upgraded in the rehabilitation</w:t>
      </w:r>
      <w:r w:rsidR="00C63D69">
        <w:rPr>
          <w:rFonts w:eastAsia="Times New Roman" w:cs="Times New Roman"/>
          <w:bCs/>
          <w:szCs w:val="24"/>
        </w:rPr>
        <w:t xml:space="preserve"> may use the services of a commissioning agent or may use a qualified facility professional</w:t>
      </w:r>
      <w:r w:rsidR="00554E05">
        <w:rPr>
          <w:rFonts w:eastAsia="Times New Roman" w:cs="Times New Roman"/>
          <w:bCs/>
          <w:szCs w:val="24"/>
        </w:rPr>
        <w:t>,</w:t>
      </w:r>
      <w:r w:rsidR="00586F95">
        <w:rPr>
          <w:rFonts w:eastAsia="Times New Roman" w:cs="Times New Roman"/>
          <w:bCs/>
          <w:szCs w:val="24"/>
        </w:rPr>
        <w:t xml:space="preserve"> </w:t>
      </w:r>
      <w:r w:rsidR="00586F95" w:rsidRPr="00554E05">
        <w:rPr>
          <w:rFonts w:eastAsia="Times New Roman" w:cs="Times New Roman"/>
          <w:bCs/>
          <w:szCs w:val="24"/>
        </w:rPr>
        <w:t>including a school district employee</w:t>
      </w:r>
      <w:r w:rsidR="00C63D69" w:rsidRPr="00554E05">
        <w:rPr>
          <w:rFonts w:eastAsia="Times New Roman" w:cs="Times New Roman"/>
          <w:bCs/>
          <w:szCs w:val="24"/>
        </w:rPr>
        <w:t>.</w:t>
      </w:r>
      <w:r w:rsidR="003207A3">
        <w:rPr>
          <w:rFonts w:eastAsia="Times New Roman" w:cs="Times New Roman"/>
          <w:bCs/>
          <w:szCs w:val="24"/>
        </w:rPr>
        <w:t xml:space="preserve"> </w:t>
      </w:r>
      <w:r>
        <w:rPr>
          <w:rFonts w:eastAsia="Times New Roman" w:cs="Times New Roman"/>
          <w:bCs/>
          <w:szCs w:val="24"/>
        </w:rPr>
        <w:t>The cost of commissioning</w:t>
      </w:r>
      <w:r w:rsidR="003207A3">
        <w:rPr>
          <w:rFonts w:eastAsia="Times New Roman" w:cs="Times New Roman"/>
          <w:bCs/>
          <w:szCs w:val="24"/>
        </w:rPr>
        <w:t>, including the cost of a commissioning agent, re</w:t>
      </w:r>
      <w:r w:rsidR="006D1FAC">
        <w:rPr>
          <w:rFonts w:eastAsia="Times New Roman" w:cs="Times New Roman"/>
          <w:bCs/>
          <w:szCs w:val="24"/>
        </w:rPr>
        <w:t xml:space="preserve">quired or </w:t>
      </w:r>
      <w:r w:rsidR="00E65663">
        <w:rPr>
          <w:rFonts w:eastAsia="Times New Roman" w:cs="Times New Roman"/>
          <w:bCs/>
          <w:szCs w:val="24"/>
        </w:rPr>
        <w:t>permitted</w:t>
      </w:r>
      <w:r w:rsidR="006D1FAC">
        <w:rPr>
          <w:rFonts w:eastAsia="Times New Roman" w:cs="Times New Roman"/>
          <w:bCs/>
          <w:szCs w:val="24"/>
        </w:rPr>
        <w:t xml:space="preserve"> under this </w:t>
      </w:r>
      <w:r w:rsidR="00E65663">
        <w:rPr>
          <w:rFonts w:eastAsia="Times New Roman" w:cs="Times New Roman"/>
          <w:bCs/>
          <w:szCs w:val="24"/>
        </w:rPr>
        <w:t>sub</w:t>
      </w:r>
      <w:r w:rsidR="006D1FAC">
        <w:rPr>
          <w:rFonts w:eastAsia="Times New Roman" w:cs="Times New Roman"/>
          <w:bCs/>
          <w:szCs w:val="24"/>
        </w:rPr>
        <w:t xml:space="preserve">section is </w:t>
      </w:r>
      <w:r w:rsidR="00E65663">
        <w:rPr>
          <w:rFonts w:eastAsia="Times New Roman" w:cs="Times New Roman"/>
          <w:bCs/>
          <w:szCs w:val="24"/>
        </w:rPr>
        <w:t>an allowable</w:t>
      </w:r>
      <w:r w:rsidR="006D1FAC">
        <w:rPr>
          <w:rFonts w:eastAsia="Times New Roman" w:cs="Times New Roman"/>
          <w:bCs/>
          <w:szCs w:val="24"/>
        </w:rPr>
        <w:t xml:space="preserve"> cost o</w:t>
      </w:r>
      <w:r>
        <w:rPr>
          <w:rFonts w:eastAsia="Times New Roman" w:cs="Times New Roman"/>
          <w:bCs/>
          <w:szCs w:val="24"/>
        </w:rPr>
        <w:t>f school construction</w:t>
      </w:r>
      <w:r w:rsidR="00E65663">
        <w:rPr>
          <w:rFonts w:eastAsia="Times New Roman" w:cs="Times New Roman"/>
          <w:bCs/>
          <w:szCs w:val="24"/>
        </w:rPr>
        <w:t>.</w:t>
      </w:r>
      <w:r w:rsidR="003207A3">
        <w:rPr>
          <w:rFonts w:eastAsia="Times New Roman" w:cs="Times New Roman"/>
          <w:bCs/>
          <w:szCs w:val="24"/>
        </w:rPr>
        <w:t xml:space="preserve"> </w:t>
      </w:r>
      <w:r w:rsidR="005E096E">
        <w:t>(</w:t>
      </w:r>
      <w:r w:rsidR="005E096E" w:rsidRPr="00056342">
        <w:t>Eff. 12/2/83, Register 88; am 8/31/90, Register 115; am 4/17/98, Register 146; am 11/20/2005, Register 176</w:t>
      </w:r>
      <w:r w:rsidR="005E096E">
        <w:t>; am __/__/___, Register ___)</w:t>
      </w:r>
    </w:p>
    <w:p w14:paraId="05EB6FDB" w14:textId="77777777" w:rsidR="005E096E" w:rsidRDefault="005E096E" w:rsidP="005E096E">
      <w:pPr>
        <w:tabs>
          <w:tab w:val="left" w:pos="1440"/>
          <w:tab w:val="left" w:pos="3960"/>
          <w:tab w:val="left" w:pos="6480"/>
        </w:tabs>
        <w:spacing w:after="0" w:line="480" w:lineRule="auto"/>
      </w:pPr>
      <w:r w:rsidRPr="00056342">
        <w:rPr>
          <w:b/>
        </w:rPr>
        <w:t>Authority</w:t>
      </w:r>
      <w:r>
        <w:t>:</w:t>
      </w:r>
      <w:r>
        <w:tab/>
        <w:t>AS 14.07.060</w:t>
      </w:r>
      <w:r>
        <w:tab/>
        <w:t>AS 14.11.020</w:t>
      </w:r>
      <w:r>
        <w:tab/>
        <w:t>AS 14.11.132</w:t>
      </w:r>
    </w:p>
    <w:p w14:paraId="75E8692D" w14:textId="77777777" w:rsidR="00D4608E" w:rsidRDefault="00D4608E" w:rsidP="005E096E">
      <w:pPr>
        <w:spacing w:after="0" w:line="480" w:lineRule="auto"/>
        <w:rPr>
          <w:rFonts w:eastAsia="Times New Roman" w:cs="Times New Roman"/>
          <w:szCs w:val="24"/>
        </w:rPr>
      </w:pPr>
    </w:p>
    <w:p w14:paraId="7017E6D8" w14:textId="38FD57B5" w:rsidR="00266916" w:rsidRPr="002D302B" w:rsidRDefault="00266916" w:rsidP="005E096E">
      <w:pPr>
        <w:spacing w:after="0" w:line="480" w:lineRule="auto"/>
        <w:rPr>
          <w:rFonts w:eastAsia="Times New Roman" w:cs="Times New Roman"/>
          <w:szCs w:val="24"/>
        </w:rPr>
      </w:pPr>
      <w:r w:rsidRPr="002D302B">
        <w:rPr>
          <w:rFonts w:eastAsia="Times New Roman" w:cs="Times New Roman"/>
          <w:szCs w:val="24"/>
        </w:rPr>
        <w:t>4 AAC 31.900</w:t>
      </w:r>
      <w:r w:rsidR="002D302B">
        <w:rPr>
          <w:rFonts w:eastAsia="Times New Roman" w:cs="Times New Roman"/>
          <w:szCs w:val="24"/>
        </w:rPr>
        <w:t xml:space="preserve"> </w:t>
      </w:r>
      <w:r w:rsidR="002D302B" w:rsidRPr="002D302B">
        <w:rPr>
          <w:bCs/>
        </w:rPr>
        <w:t xml:space="preserve">is amended </w:t>
      </w:r>
      <w:r w:rsidR="002D302B">
        <w:rPr>
          <w:bCs/>
        </w:rPr>
        <w:t xml:space="preserve">by adding new paragraphs </w:t>
      </w:r>
      <w:r w:rsidR="002D302B" w:rsidRPr="002D302B">
        <w:rPr>
          <w:bCs/>
        </w:rPr>
        <w:t>to read:</w:t>
      </w:r>
    </w:p>
    <w:p w14:paraId="5FFFE447" w14:textId="4D0590CC" w:rsidR="00266916" w:rsidRPr="00A56045" w:rsidRDefault="00266916" w:rsidP="005E096E">
      <w:pPr>
        <w:spacing w:after="0" w:line="480" w:lineRule="auto"/>
      </w:pPr>
      <w:r w:rsidRPr="00A56045">
        <w:tab/>
      </w:r>
      <w:r w:rsidRPr="00A56045">
        <w:tab/>
        <w:t>(31) “commissioning” means</w:t>
      </w:r>
      <w:r w:rsidR="0020785D">
        <w:t xml:space="preserve"> functional testing</w:t>
      </w:r>
      <w:r w:rsidRPr="00A56045">
        <w:t xml:space="preserve"> </w:t>
      </w:r>
      <w:r w:rsidR="001B52D0">
        <w:t>activities</w:t>
      </w:r>
      <w:r w:rsidR="004E5E53" w:rsidRPr="004E5E53">
        <w:rPr>
          <w:szCs w:val="24"/>
        </w:rPr>
        <w:t xml:space="preserve"> </w:t>
      </w:r>
      <w:r w:rsidR="000954F1">
        <w:rPr>
          <w:szCs w:val="24"/>
        </w:rPr>
        <w:t>for</w:t>
      </w:r>
      <w:r w:rsidR="008403FA">
        <w:rPr>
          <w:szCs w:val="24"/>
        </w:rPr>
        <w:t xml:space="preserve"> </w:t>
      </w:r>
      <w:r w:rsidR="00824451">
        <w:rPr>
          <w:szCs w:val="24"/>
        </w:rPr>
        <w:t xml:space="preserve">a </w:t>
      </w:r>
      <w:r w:rsidR="000954F1" w:rsidRPr="00DA1749">
        <w:rPr>
          <w:rFonts w:eastAsia="Times New Roman" w:cs="Times New Roman"/>
          <w:bCs/>
          <w:szCs w:val="24"/>
        </w:rPr>
        <w:t>mechanical, electrical, fuel oil, control</w:t>
      </w:r>
      <w:r w:rsidR="00824451">
        <w:rPr>
          <w:rFonts w:eastAsia="Times New Roman" w:cs="Times New Roman"/>
          <w:bCs/>
          <w:szCs w:val="24"/>
        </w:rPr>
        <w:t>s, and building envelope system</w:t>
      </w:r>
      <w:r w:rsidR="000954F1">
        <w:rPr>
          <w:szCs w:val="24"/>
        </w:rPr>
        <w:t xml:space="preserve"> </w:t>
      </w:r>
      <w:r w:rsidR="004E5E53">
        <w:rPr>
          <w:szCs w:val="24"/>
        </w:rPr>
        <w:t>to ensure that a facility</w:t>
      </w:r>
      <w:r w:rsidR="003B3681">
        <w:rPr>
          <w:szCs w:val="24"/>
        </w:rPr>
        <w:t xml:space="preserve"> or a system</w:t>
      </w:r>
      <w:r w:rsidR="004E5E53">
        <w:rPr>
          <w:szCs w:val="24"/>
        </w:rPr>
        <w:t xml:space="preserve"> operates </w:t>
      </w:r>
      <w:r w:rsidR="00804964">
        <w:rPr>
          <w:szCs w:val="24"/>
        </w:rPr>
        <w:t xml:space="preserve">as the owner and designers </w:t>
      </w:r>
      <w:r w:rsidR="004E5E53">
        <w:rPr>
          <w:szCs w:val="24"/>
        </w:rPr>
        <w:t>intend</w:t>
      </w:r>
      <w:r w:rsidR="00826344">
        <w:rPr>
          <w:szCs w:val="24"/>
        </w:rPr>
        <w:t>ed</w:t>
      </w:r>
      <w:r w:rsidR="004E5E53">
        <w:rPr>
          <w:szCs w:val="24"/>
        </w:rPr>
        <w:t xml:space="preserve"> and that prepares </w:t>
      </w:r>
      <w:r w:rsidR="000954F1">
        <w:rPr>
          <w:szCs w:val="24"/>
        </w:rPr>
        <w:t xml:space="preserve">an </w:t>
      </w:r>
      <w:r w:rsidR="004E5E53">
        <w:rPr>
          <w:szCs w:val="24"/>
        </w:rPr>
        <w:t xml:space="preserve">owner to </w:t>
      </w:r>
      <w:r w:rsidR="000954F1">
        <w:rPr>
          <w:szCs w:val="24"/>
        </w:rPr>
        <w:t xml:space="preserve">efficiently </w:t>
      </w:r>
      <w:r w:rsidR="004E5E53">
        <w:rPr>
          <w:szCs w:val="24"/>
        </w:rPr>
        <w:t>operate its systems and equipment</w:t>
      </w:r>
      <w:r w:rsidR="00934170">
        <w:rPr>
          <w:szCs w:val="24"/>
        </w:rPr>
        <w:t>;</w:t>
      </w:r>
    </w:p>
    <w:p w14:paraId="76E562B6" w14:textId="568C5A6F" w:rsidR="00266916" w:rsidRPr="00A56045" w:rsidRDefault="00266916" w:rsidP="005E096E">
      <w:pPr>
        <w:spacing w:after="0" w:line="480" w:lineRule="auto"/>
      </w:pPr>
      <w:r w:rsidRPr="00A56045">
        <w:lastRenderedPageBreak/>
        <w:tab/>
      </w:r>
      <w:r w:rsidRPr="00A56045">
        <w:tab/>
        <w:t xml:space="preserve">(32) “commissioning agent” means an individual who is certified with a </w:t>
      </w:r>
      <w:r w:rsidR="001B2C2D">
        <w:t xml:space="preserve">recognized </w:t>
      </w:r>
      <w:r w:rsidRPr="00A56045">
        <w:t>standards organization ap</w:t>
      </w:r>
      <w:r w:rsidRPr="001702CC">
        <w:t>proved by the department to provide commissioning services</w:t>
      </w:r>
      <w:r w:rsidR="00D2512F">
        <w:t>,</w:t>
      </w:r>
      <w:r w:rsidRPr="001702CC">
        <w:t xml:space="preserve"> who </w:t>
      </w:r>
      <w:r w:rsidR="00934170">
        <w:t>may be an employee of the</w:t>
      </w:r>
      <w:r w:rsidR="00D568BC" w:rsidRPr="001702CC">
        <w:t xml:space="preserve"> school district</w:t>
      </w:r>
      <w:r w:rsidR="00934170">
        <w:t xml:space="preserve"> </w:t>
      </w:r>
      <w:r w:rsidR="00D568BC" w:rsidRPr="001702CC">
        <w:t xml:space="preserve">or </w:t>
      </w:r>
      <w:r w:rsidR="00934170">
        <w:t xml:space="preserve">an independent </w:t>
      </w:r>
      <w:r w:rsidR="00D568BC" w:rsidRPr="001702CC">
        <w:t>design consultant</w:t>
      </w:r>
      <w:r w:rsidR="00934170">
        <w:t xml:space="preserve"> hired</w:t>
      </w:r>
      <w:r w:rsidRPr="001702CC">
        <w:t xml:space="preserve"> on b</w:t>
      </w:r>
      <w:r w:rsidRPr="00A56045">
        <w:t>ehalf of the school district to</w:t>
      </w:r>
    </w:p>
    <w:p w14:paraId="5908E809" w14:textId="017DF278" w:rsidR="00266916" w:rsidRPr="00A56045" w:rsidRDefault="00266916" w:rsidP="005E096E">
      <w:pPr>
        <w:spacing w:after="0" w:line="480" w:lineRule="auto"/>
        <w:ind w:left="720"/>
      </w:pPr>
      <w:r w:rsidRPr="00A56045">
        <w:tab/>
      </w:r>
      <w:r w:rsidRPr="00A56045">
        <w:tab/>
        <w:t>(</w:t>
      </w:r>
      <w:r w:rsidR="00351959">
        <w:t>A</w:t>
      </w:r>
      <w:r w:rsidRPr="00A56045">
        <w:t xml:space="preserve">) </w:t>
      </w:r>
      <w:r w:rsidR="00804964" w:rsidRPr="00A56045">
        <w:t xml:space="preserve">create </w:t>
      </w:r>
      <w:r w:rsidR="00804964">
        <w:t xml:space="preserve">a </w:t>
      </w:r>
      <w:r w:rsidR="00804964" w:rsidRPr="00A56045">
        <w:t>commissioning plan, checklists, a</w:t>
      </w:r>
      <w:r w:rsidR="00804964">
        <w:t>nd functional performance tests for each commissioned system</w:t>
      </w:r>
      <w:r w:rsidRPr="00A56045">
        <w:t>;</w:t>
      </w:r>
    </w:p>
    <w:p w14:paraId="45BA8E4A" w14:textId="194B92B6" w:rsidR="00266916" w:rsidRPr="00A56045" w:rsidRDefault="00266916" w:rsidP="005E096E">
      <w:pPr>
        <w:spacing w:after="0" w:line="480" w:lineRule="auto"/>
        <w:ind w:left="720"/>
      </w:pPr>
      <w:r w:rsidRPr="00A56045">
        <w:tab/>
      </w:r>
      <w:r w:rsidRPr="00A56045">
        <w:tab/>
        <w:t>(</w:t>
      </w:r>
      <w:r w:rsidR="00351959">
        <w:t>B</w:t>
      </w:r>
      <w:r w:rsidRPr="00A56045">
        <w:t xml:space="preserve">) </w:t>
      </w:r>
      <w:r w:rsidR="00AB73E1" w:rsidRPr="00A56045">
        <w:t xml:space="preserve">coordinate </w:t>
      </w:r>
      <w:r w:rsidR="00AB73E1">
        <w:t xml:space="preserve">the </w:t>
      </w:r>
      <w:r w:rsidR="00AB73E1" w:rsidRPr="00A56045">
        <w:t xml:space="preserve">commissioning team </w:t>
      </w:r>
      <w:r w:rsidR="00AB73E1">
        <w:t>for</w:t>
      </w:r>
      <w:r w:rsidR="00AB73E1" w:rsidRPr="00A56045">
        <w:t xml:space="preserve"> the mechanical, electrical, fuel oil, controls, and building envelope systems</w:t>
      </w:r>
      <w:r w:rsidR="00AB73E1">
        <w:t>;</w:t>
      </w:r>
    </w:p>
    <w:p w14:paraId="20F191BD" w14:textId="1F8EAE72" w:rsidR="00266916" w:rsidRPr="00A56045" w:rsidRDefault="00266916" w:rsidP="005E096E">
      <w:pPr>
        <w:spacing w:after="0" w:line="480" w:lineRule="auto"/>
        <w:ind w:left="720"/>
      </w:pPr>
      <w:r w:rsidRPr="00A56045">
        <w:tab/>
      </w:r>
      <w:r w:rsidRPr="00A56045">
        <w:tab/>
        <w:t>(</w:t>
      </w:r>
      <w:r w:rsidR="00351959">
        <w:t>C</w:t>
      </w:r>
      <w:r w:rsidRPr="00A56045">
        <w:t>)</w:t>
      </w:r>
      <w:r w:rsidR="00804964">
        <w:t xml:space="preserve"> </w:t>
      </w:r>
      <w:r w:rsidR="00AB73E1" w:rsidRPr="00A56045">
        <w:t xml:space="preserve">coordinate </w:t>
      </w:r>
      <w:r w:rsidR="00AB73E1">
        <w:t xml:space="preserve">the work of the construction </w:t>
      </w:r>
      <w:r w:rsidR="00AB73E1" w:rsidRPr="00A56045">
        <w:t xml:space="preserve">contractor, school district, and </w:t>
      </w:r>
      <w:r w:rsidR="00AB73E1">
        <w:t>design</w:t>
      </w:r>
      <w:r w:rsidR="00AB73E1" w:rsidRPr="00A56045">
        <w:t xml:space="preserve"> team</w:t>
      </w:r>
      <w:r w:rsidR="00AB73E1">
        <w:t xml:space="preserve"> as it pertains to the commissioning process</w:t>
      </w:r>
      <w:r w:rsidR="00934170">
        <w:t>;</w:t>
      </w:r>
    </w:p>
    <w:p w14:paraId="6E70C5DE" w14:textId="296376D4" w:rsidR="00266916" w:rsidRPr="00A56045" w:rsidRDefault="00266916" w:rsidP="005E096E">
      <w:pPr>
        <w:spacing w:after="0" w:line="480" w:lineRule="auto"/>
        <w:ind w:left="720"/>
      </w:pPr>
      <w:r w:rsidRPr="00A56045">
        <w:tab/>
      </w:r>
      <w:r w:rsidRPr="00A56045">
        <w:tab/>
        <w:t>(</w:t>
      </w:r>
      <w:r w:rsidR="00351959">
        <w:t>D</w:t>
      </w:r>
      <w:r w:rsidRPr="00A56045">
        <w:t>) witness the functional performance testing;</w:t>
      </w:r>
    </w:p>
    <w:p w14:paraId="7763B70D" w14:textId="0C134886" w:rsidR="00266916" w:rsidRPr="00A56045" w:rsidRDefault="00266916" w:rsidP="005E096E">
      <w:pPr>
        <w:spacing w:after="0" w:line="480" w:lineRule="auto"/>
        <w:ind w:left="720"/>
      </w:pPr>
      <w:r w:rsidRPr="00A56045">
        <w:tab/>
      </w:r>
      <w:r w:rsidRPr="00A56045">
        <w:tab/>
        <w:t>(</w:t>
      </w:r>
      <w:r w:rsidR="00351959">
        <w:t>E</w:t>
      </w:r>
      <w:r w:rsidRPr="00A56045">
        <w:t>) assist in resolution of issues found during commissioning; and</w:t>
      </w:r>
    </w:p>
    <w:p w14:paraId="11A2708C" w14:textId="2CB513C9" w:rsidR="005E096E" w:rsidRDefault="00266916" w:rsidP="00804964">
      <w:pPr>
        <w:spacing w:after="0" w:line="480" w:lineRule="auto"/>
        <w:ind w:left="720"/>
        <w:rPr>
          <w:bCs/>
        </w:rPr>
      </w:pPr>
      <w:r w:rsidRPr="00A56045">
        <w:tab/>
      </w:r>
      <w:r w:rsidRPr="00A56045">
        <w:tab/>
        <w:t>(</w:t>
      </w:r>
      <w:r w:rsidR="00351959">
        <w:t>F</w:t>
      </w:r>
      <w:r w:rsidRPr="00A56045">
        <w:t xml:space="preserve">) </w:t>
      </w:r>
      <w:r w:rsidR="00033082">
        <w:t>verif</w:t>
      </w:r>
      <w:r w:rsidR="00934170">
        <w:t>y the</w:t>
      </w:r>
      <w:r w:rsidR="00033082" w:rsidRPr="00A56045">
        <w:t xml:space="preserve"> </w:t>
      </w:r>
      <w:r w:rsidRPr="00A56045">
        <w:t>training of owner maintenance personnel on commissioned systems;</w:t>
      </w:r>
      <w:r w:rsidR="00824451">
        <w:t xml:space="preserve"> </w:t>
      </w:r>
      <w:r w:rsidR="00804964">
        <w:t>(</w:t>
      </w:r>
      <w:r w:rsidR="005E096E" w:rsidRPr="007B0176">
        <w:t>Eff. 3/1/78, Register 65; am 6/9/83, Register 86; am 12/2/83, Register 88; am 9/12/85, Register 96; am 8/31/90, Register 115; am 9/29/90, Register 115; am 10/7/95, Register 136; am 4/17/98, Register 146; am 2/18/99, Register 149; am 7/13/2000, Register 155; am 8/23/2001, Register 159; am 12/19/2002, Register 164; am 12/20/2002, Register 164; am 6/17/2010, Register 194</w:t>
      </w:r>
      <w:r w:rsidR="005E096E">
        <w:t>; am _</w:t>
      </w:r>
      <w:r w:rsidR="00AB73E1">
        <w:t>__</w:t>
      </w:r>
      <w:r w:rsidR="005E096E">
        <w:t>/__</w:t>
      </w:r>
      <w:r w:rsidR="00AB73E1">
        <w:t>_</w:t>
      </w:r>
      <w:r w:rsidR="005E096E">
        <w:t>/___, Register ___</w:t>
      </w:r>
      <w:r w:rsidR="005E096E" w:rsidRPr="00650EEA">
        <w:rPr>
          <w:bCs/>
        </w:rPr>
        <w:t>)</w:t>
      </w:r>
    </w:p>
    <w:p w14:paraId="1FC475DD" w14:textId="77777777" w:rsidR="005E096E" w:rsidRPr="007B0176" w:rsidRDefault="005E096E" w:rsidP="005E096E">
      <w:pPr>
        <w:tabs>
          <w:tab w:val="left" w:pos="720"/>
          <w:tab w:val="left" w:pos="1440"/>
          <w:tab w:val="left" w:pos="3960"/>
          <w:tab w:val="left" w:pos="6480"/>
        </w:tabs>
        <w:spacing w:after="0" w:line="480" w:lineRule="auto"/>
        <w:rPr>
          <w:bCs/>
        </w:rPr>
      </w:pPr>
      <w:r>
        <w:rPr>
          <w:b/>
          <w:bCs/>
        </w:rPr>
        <w:t>Authority:</w:t>
      </w:r>
      <w:r w:rsidRPr="007B0176">
        <w:rPr>
          <w:bCs/>
        </w:rPr>
        <w:tab/>
        <w:t xml:space="preserve">AS 14.07.020  </w:t>
      </w:r>
      <w:r>
        <w:rPr>
          <w:bCs/>
        </w:rPr>
        <w:tab/>
      </w:r>
      <w:r w:rsidRPr="007B0176">
        <w:rPr>
          <w:bCs/>
        </w:rPr>
        <w:t>AS 14.11.020</w:t>
      </w:r>
      <w:r>
        <w:rPr>
          <w:bCs/>
        </w:rPr>
        <w:tab/>
      </w:r>
      <w:r w:rsidRPr="007B0176">
        <w:rPr>
          <w:bCs/>
        </w:rPr>
        <w:t>AS 14.11.102</w:t>
      </w:r>
    </w:p>
    <w:p w14:paraId="4EEA724E" w14:textId="77777777" w:rsidR="005E096E" w:rsidRPr="007B0176" w:rsidRDefault="005E096E" w:rsidP="005E096E">
      <w:pPr>
        <w:tabs>
          <w:tab w:val="left" w:pos="720"/>
          <w:tab w:val="left" w:pos="1440"/>
          <w:tab w:val="left" w:pos="3960"/>
          <w:tab w:val="left" w:pos="6480"/>
        </w:tabs>
        <w:spacing w:after="0" w:line="480" w:lineRule="auto"/>
        <w:rPr>
          <w:bCs/>
        </w:rPr>
      </w:pPr>
      <w:r>
        <w:rPr>
          <w:bCs/>
        </w:rPr>
        <w:tab/>
      </w:r>
      <w:r>
        <w:rPr>
          <w:bCs/>
        </w:rPr>
        <w:tab/>
      </w:r>
      <w:r w:rsidRPr="007B0176">
        <w:rPr>
          <w:bCs/>
        </w:rPr>
        <w:t xml:space="preserve">AS 14.07.060  </w:t>
      </w:r>
      <w:r>
        <w:rPr>
          <w:bCs/>
        </w:rPr>
        <w:tab/>
      </w:r>
      <w:r w:rsidRPr="007B0176">
        <w:rPr>
          <w:bCs/>
        </w:rPr>
        <w:t>AS 14.11.100</w:t>
      </w:r>
      <w:r>
        <w:rPr>
          <w:bCs/>
        </w:rPr>
        <w:tab/>
      </w:r>
      <w:r w:rsidRPr="007B0176">
        <w:rPr>
          <w:bCs/>
        </w:rPr>
        <w:t>AS 14.11.132</w:t>
      </w:r>
    </w:p>
    <w:p w14:paraId="0CB3660E" w14:textId="3D50833F" w:rsidR="00266916" w:rsidRDefault="005E096E" w:rsidP="005E096E">
      <w:pPr>
        <w:tabs>
          <w:tab w:val="left" w:pos="720"/>
          <w:tab w:val="left" w:pos="1440"/>
          <w:tab w:val="left" w:pos="3960"/>
          <w:tab w:val="left" w:pos="6480"/>
        </w:tabs>
        <w:spacing w:after="0" w:line="480" w:lineRule="auto"/>
        <w:rPr>
          <w:rFonts w:eastAsia="Times New Roman" w:cs="Times New Roman"/>
          <w:szCs w:val="24"/>
        </w:rPr>
      </w:pPr>
      <w:r>
        <w:rPr>
          <w:bCs/>
        </w:rPr>
        <w:tab/>
      </w:r>
      <w:r>
        <w:rPr>
          <w:bCs/>
        </w:rPr>
        <w:tab/>
      </w:r>
      <w:r w:rsidRPr="007B0176">
        <w:rPr>
          <w:bCs/>
        </w:rPr>
        <w:t xml:space="preserve">AS 14.11.011  </w:t>
      </w:r>
    </w:p>
    <w:sectPr w:rsidR="002669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3CA21" w14:textId="77777777" w:rsidR="00026AD9" w:rsidRDefault="00026AD9" w:rsidP="005E096E">
      <w:pPr>
        <w:spacing w:after="0" w:line="240" w:lineRule="auto"/>
      </w:pPr>
      <w:r>
        <w:separator/>
      </w:r>
    </w:p>
  </w:endnote>
  <w:endnote w:type="continuationSeparator" w:id="0">
    <w:p w14:paraId="738E7590" w14:textId="77777777" w:rsidR="00026AD9" w:rsidRDefault="00026AD9" w:rsidP="005E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3FD9" w14:textId="173754EE" w:rsidR="005E096E" w:rsidRDefault="006C677E" w:rsidP="006C677E">
    <w:pPr>
      <w:pStyle w:val="Footer"/>
      <w:spacing w:before="120"/>
      <w:rPr>
        <w:sz w:val="22"/>
      </w:rPr>
    </w:pPr>
    <w:r>
      <w:rPr>
        <w:sz w:val="22"/>
      </w:rPr>
      <w:tab/>
    </w:r>
    <w:r w:rsidR="005E096E" w:rsidRPr="005E096E">
      <w:rPr>
        <w:sz w:val="22"/>
      </w:rPr>
      <w:fldChar w:fldCharType="begin"/>
    </w:r>
    <w:r w:rsidR="005E096E" w:rsidRPr="005E096E">
      <w:rPr>
        <w:sz w:val="22"/>
      </w:rPr>
      <w:instrText xml:space="preserve"> page </w:instrText>
    </w:r>
    <w:r w:rsidR="005E096E" w:rsidRPr="005E096E">
      <w:rPr>
        <w:sz w:val="22"/>
      </w:rPr>
      <w:fldChar w:fldCharType="separate"/>
    </w:r>
    <w:r w:rsidR="00E327C5">
      <w:rPr>
        <w:noProof/>
        <w:sz w:val="22"/>
      </w:rPr>
      <w:t>2</w:t>
    </w:r>
    <w:r w:rsidR="005E096E" w:rsidRPr="005E096E">
      <w:rPr>
        <w:sz w:val="22"/>
      </w:rPr>
      <w:fldChar w:fldCharType="end"/>
    </w:r>
  </w:p>
  <w:p w14:paraId="086EA997" w14:textId="77777777" w:rsidR="006C677E" w:rsidRDefault="006C677E">
    <w:pPr>
      <w:pStyle w:val="Footer"/>
      <w:rPr>
        <w:sz w:val="22"/>
      </w:rPr>
    </w:pPr>
  </w:p>
  <w:p w14:paraId="186CC7A5" w14:textId="77777777" w:rsidR="006C677E" w:rsidRPr="005E096E" w:rsidRDefault="006C677E">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00B40" w14:textId="77777777" w:rsidR="00026AD9" w:rsidRDefault="00026AD9" w:rsidP="005E096E">
      <w:pPr>
        <w:spacing w:after="0" w:line="240" w:lineRule="auto"/>
      </w:pPr>
      <w:r>
        <w:separator/>
      </w:r>
    </w:p>
  </w:footnote>
  <w:footnote w:type="continuationSeparator" w:id="0">
    <w:p w14:paraId="324B3026" w14:textId="77777777" w:rsidR="00026AD9" w:rsidRDefault="00026AD9" w:rsidP="005E0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E108" w14:textId="77777777" w:rsidR="006C677E" w:rsidRDefault="006C677E">
    <w:pPr>
      <w:pStyle w:val="Header"/>
    </w:pPr>
  </w:p>
  <w:p w14:paraId="7C7840B7" w14:textId="77777777" w:rsidR="006C677E" w:rsidRDefault="006C677E">
    <w:pPr>
      <w:pStyle w:val="Header"/>
    </w:pPr>
  </w:p>
  <w:p w14:paraId="2C57B095" w14:textId="39D45408" w:rsidR="006C677E" w:rsidRDefault="006C677E" w:rsidP="006C677E">
    <w:pPr>
      <w:pStyle w:val="Header"/>
    </w:pPr>
    <w:r>
      <w:t>Register ______, ______ 20___EDUCATION &amp; EARLY DEV</w:t>
    </w:r>
    <w:r w:rsidR="00AC4491">
      <w:t>.</w:t>
    </w:r>
  </w:p>
  <w:p w14:paraId="38258B2B" w14:textId="77777777" w:rsidR="006C677E" w:rsidRDefault="006C677E" w:rsidP="006C6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40FD9"/>
    <w:multiLevelType w:val="hybridMultilevel"/>
    <w:tmpl w:val="3B466D48"/>
    <w:lvl w:ilvl="0" w:tplc="B964BD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3E2CFA"/>
    <w:multiLevelType w:val="hybridMultilevel"/>
    <w:tmpl w:val="AA560F5E"/>
    <w:lvl w:ilvl="0" w:tplc="1DF223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6A12EB"/>
    <w:multiLevelType w:val="hybridMultilevel"/>
    <w:tmpl w:val="A36AB13E"/>
    <w:lvl w:ilvl="0" w:tplc="E0BE7B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ED2809"/>
    <w:multiLevelType w:val="hybridMultilevel"/>
    <w:tmpl w:val="48369400"/>
    <w:lvl w:ilvl="0" w:tplc="C5E2E3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FC33B6"/>
    <w:multiLevelType w:val="hybridMultilevel"/>
    <w:tmpl w:val="A42CB5A0"/>
    <w:lvl w:ilvl="0" w:tplc="54DAAE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7"/>
    <w:rsid w:val="00020693"/>
    <w:rsid w:val="00026AD9"/>
    <w:rsid w:val="00033082"/>
    <w:rsid w:val="000954F1"/>
    <w:rsid w:val="000C534C"/>
    <w:rsid w:val="000E0F24"/>
    <w:rsid w:val="00140190"/>
    <w:rsid w:val="00151314"/>
    <w:rsid w:val="001702CC"/>
    <w:rsid w:val="001757F0"/>
    <w:rsid w:val="001B2C2D"/>
    <w:rsid w:val="001B52D0"/>
    <w:rsid w:val="001F6165"/>
    <w:rsid w:val="0020785D"/>
    <w:rsid w:val="00220210"/>
    <w:rsid w:val="00225A35"/>
    <w:rsid w:val="00227FDB"/>
    <w:rsid w:val="0025009A"/>
    <w:rsid w:val="00266916"/>
    <w:rsid w:val="002A2677"/>
    <w:rsid w:val="002A5237"/>
    <w:rsid w:val="002B57A8"/>
    <w:rsid w:val="002D302B"/>
    <w:rsid w:val="00314280"/>
    <w:rsid w:val="003207A3"/>
    <w:rsid w:val="00351959"/>
    <w:rsid w:val="00357E8E"/>
    <w:rsid w:val="00384FEA"/>
    <w:rsid w:val="003B3681"/>
    <w:rsid w:val="00402887"/>
    <w:rsid w:val="004A4808"/>
    <w:rsid w:val="004E1143"/>
    <w:rsid w:val="004E5E53"/>
    <w:rsid w:val="00502D14"/>
    <w:rsid w:val="005069F3"/>
    <w:rsid w:val="005226B7"/>
    <w:rsid w:val="00554E05"/>
    <w:rsid w:val="00581DFA"/>
    <w:rsid w:val="00586F95"/>
    <w:rsid w:val="005E096E"/>
    <w:rsid w:val="005F7293"/>
    <w:rsid w:val="00612DD5"/>
    <w:rsid w:val="006B31A6"/>
    <w:rsid w:val="006C677E"/>
    <w:rsid w:val="006D1FAC"/>
    <w:rsid w:val="006E01FE"/>
    <w:rsid w:val="007058EB"/>
    <w:rsid w:val="0071094B"/>
    <w:rsid w:val="007448AE"/>
    <w:rsid w:val="007C66AE"/>
    <w:rsid w:val="00804964"/>
    <w:rsid w:val="00815A03"/>
    <w:rsid w:val="00824451"/>
    <w:rsid w:val="00826344"/>
    <w:rsid w:val="0083710D"/>
    <w:rsid w:val="008403FA"/>
    <w:rsid w:val="00866A6A"/>
    <w:rsid w:val="0088174D"/>
    <w:rsid w:val="008F4886"/>
    <w:rsid w:val="00934170"/>
    <w:rsid w:val="00957A51"/>
    <w:rsid w:val="009B359E"/>
    <w:rsid w:val="009E776B"/>
    <w:rsid w:val="009F6411"/>
    <w:rsid w:val="00A06BD2"/>
    <w:rsid w:val="00A076D2"/>
    <w:rsid w:val="00A3633B"/>
    <w:rsid w:val="00A508F6"/>
    <w:rsid w:val="00A548DC"/>
    <w:rsid w:val="00A56045"/>
    <w:rsid w:val="00AB73E1"/>
    <w:rsid w:val="00AC4491"/>
    <w:rsid w:val="00AF143E"/>
    <w:rsid w:val="00B21ABA"/>
    <w:rsid w:val="00B260F7"/>
    <w:rsid w:val="00C11F47"/>
    <w:rsid w:val="00C63D69"/>
    <w:rsid w:val="00C657D6"/>
    <w:rsid w:val="00C96846"/>
    <w:rsid w:val="00CF69DD"/>
    <w:rsid w:val="00D2512F"/>
    <w:rsid w:val="00D4608E"/>
    <w:rsid w:val="00D568BC"/>
    <w:rsid w:val="00D83F51"/>
    <w:rsid w:val="00D90C49"/>
    <w:rsid w:val="00DA1749"/>
    <w:rsid w:val="00DA6DF7"/>
    <w:rsid w:val="00DD684E"/>
    <w:rsid w:val="00DE6F6A"/>
    <w:rsid w:val="00E007A6"/>
    <w:rsid w:val="00E327C5"/>
    <w:rsid w:val="00E65663"/>
    <w:rsid w:val="00E86C2C"/>
    <w:rsid w:val="00ED2EAA"/>
    <w:rsid w:val="00F5377B"/>
    <w:rsid w:val="00F61E33"/>
    <w:rsid w:val="00F73609"/>
    <w:rsid w:val="00FA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25274"/>
  <w15:chartTrackingRefBased/>
  <w15:docId w15:val="{C6E0B975-4E1C-4EE7-814B-F9115835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237"/>
    <w:rPr>
      <w:color w:val="0000FF"/>
      <w:u w:val="single"/>
    </w:rPr>
  </w:style>
  <w:style w:type="character" w:styleId="CommentReference">
    <w:name w:val="annotation reference"/>
    <w:basedOn w:val="DefaultParagraphFont"/>
    <w:uiPriority w:val="99"/>
    <w:semiHidden/>
    <w:unhideWhenUsed/>
    <w:rsid w:val="00C96846"/>
    <w:rPr>
      <w:sz w:val="16"/>
      <w:szCs w:val="16"/>
    </w:rPr>
  </w:style>
  <w:style w:type="paragraph" w:styleId="CommentText">
    <w:name w:val="annotation text"/>
    <w:basedOn w:val="Normal"/>
    <w:link w:val="CommentTextChar"/>
    <w:uiPriority w:val="99"/>
    <w:semiHidden/>
    <w:unhideWhenUsed/>
    <w:rsid w:val="00C96846"/>
    <w:pPr>
      <w:spacing w:line="240" w:lineRule="auto"/>
    </w:pPr>
    <w:rPr>
      <w:sz w:val="20"/>
      <w:szCs w:val="20"/>
    </w:rPr>
  </w:style>
  <w:style w:type="character" w:customStyle="1" w:styleId="CommentTextChar">
    <w:name w:val="Comment Text Char"/>
    <w:basedOn w:val="DefaultParagraphFont"/>
    <w:link w:val="CommentText"/>
    <w:uiPriority w:val="99"/>
    <w:semiHidden/>
    <w:rsid w:val="00C9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6846"/>
    <w:rPr>
      <w:b/>
      <w:bCs/>
    </w:rPr>
  </w:style>
  <w:style w:type="character" w:customStyle="1" w:styleId="CommentSubjectChar">
    <w:name w:val="Comment Subject Char"/>
    <w:basedOn w:val="CommentTextChar"/>
    <w:link w:val="CommentSubject"/>
    <w:uiPriority w:val="99"/>
    <w:semiHidden/>
    <w:rsid w:val="00C96846"/>
    <w:rPr>
      <w:rFonts w:ascii="Times New Roman" w:hAnsi="Times New Roman"/>
      <w:b/>
      <w:bCs/>
      <w:sz w:val="20"/>
      <w:szCs w:val="20"/>
    </w:rPr>
  </w:style>
  <w:style w:type="paragraph" w:styleId="BalloonText">
    <w:name w:val="Balloon Text"/>
    <w:basedOn w:val="Normal"/>
    <w:link w:val="BalloonTextChar"/>
    <w:uiPriority w:val="99"/>
    <w:semiHidden/>
    <w:unhideWhenUsed/>
    <w:rsid w:val="00C96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846"/>
    <w:rPr>
      <w:rFonts w:ascii="Segoe UI" w:hAnsi="Segoe UI" w:cs="Segoe UI"/>
      <w:sz w:val="18"/>
      <w:szCs w:val="18"/>
    </w:rPr>
  </w:style>
  <w:style w:type="paragraph" w:styleId="ListParagraph">
    <w:name w:val="List Paragraph"/>
    <w:basedOn w:val="Normal"/>
    <w:uiPriority w:val="34"/>
    <w:qFormat/>
    <w:rsid w:val="00266916"/>
    <w:pPr>
      <w:ind w:left="720"/>
      <w:contextualSpacing/>
    </w:pPr>
  </w:style>
  <w:style w:type="character" w:styleId="FollowedHyperlink">
    <w:name w:val="FollowedHyperlink"/>
    <w:basedOn w:val="DefaultParagraphFont"/>
    <w:uiPriority w:val="99"/>
    <w:semiHidden/>
    <w:unhideWhenUsed/>
    <w:rsid w:val="001702CC"/>
    <w:rPr>
      <w:color w:val="954F72" w:themeColor="followedHyperlink"/>
      <w:u w:val="single"/>
    </w:rPr>
  </w:style>
  <w:style w:type="paragraph" w:styleId="Header">
    <w:name w:val="header"/>
    <w:basedOn w:val="Normal"/>
    <w:link w:val="HeaderChar"/>
    <w:uiPriority w:val="99"/>
    <w:unhideWhenUsed/>
    <w:rsid w:val="005E0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96E"/>
    <w:rPr>
      <w:rFonts w:ascii="Times New Roman" w:hAnsi="Times New Roman"/>
      <w:sz w:val="24"/>
    </w:rPr>
  </w:style>
  <w:style w:type="paragraph" w:styleId="Footer">
    <w:name w:val="footer"/>
    <w:basedOn w:val="Normal"/>
    <w:link w:val="FooterChar"/>
    <w:uiPriority w:val="99"/>
    <w:unhideWhenUsed/>
    <w:rsid w:val="005E0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96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3838">
      <w:bodyDiv w:val="1"/>
      <w:marLeft w:val="0"/>
      <w:marRight w:val="0"/>
      <w:marTop w:val="0"/>
      <w:marBottom w:val="0"/>
      <w:divBdr>
        <w:top w:val="none" w:sz="0" w:space="0" w:color="auto"/>
        <w:left w:val="none" w:sz="0" w:space="0" w:color="auto"/>
        <w:bottom w:val="none" w:sz="0" w:space="0" w:color="auto"/>
        <w:right w:val="none" w:sz="0" w:space="0" w:color="auto"/>
      </w:divBdr>
      <w:divsChild>
        <w:div w:id="1095396628">
          <w:marLeft w:val="0"/>
          <w:marRight w:val="0"/>
          <w:marTop w:val="0"/>
          <w:marBottom w:val="0"/>
          <w:divBdr>
            <w:top w:val="none" w:sz="0" w:space="0" w:color="auto"/>
            <w:left w:val="none" w:sz="0" w:space="0" w:color="auto"/>
            <w:bottom w:val="none" w:sz="0" w:space="0" w:color="auto"/>
            <w:right w:val="none" w:sz="0" w:space="0" w:color="auto"/>
          </w:divBdr>
        </w:div>
        <w:div w:id="1007950242">
          <w:marLeft w:val="0"/>
          <w:marRight w:val="0"/>
          <w:marTop w:val="0"/>
          <w:marBottom w:val="0"/>
          <w:divBdr>
            <w:top w:val="none" w:sz="0" w:space="0" w:color="auto"/>
            <w:left w:val="none" w:sz="0" w:space="0" w:color="auto"/>
            <w:bottom w:val="none" w:sz="0" w:space="0" w:color="auto"/>
            <w:right w:val="none" w:sz="0" w:space="0" w:color="auto"/>
          </w:divBdr>
        </w:div>
        <w:div w:id="1767574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0E7A-7DAC-4D0E-BA7E-0F41C625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 Lori (EED)</dc:creator>
  <cp:keywords/>
  <dc:description/>
  <cp:lastModifiedBy>O'Dell, Matthew B (DOR)</cp:lastModifiedBy>
  <cp:revision>2</cp:revision>
  <dcterms:created xsi:type="dcterms:W3CDTF">2018-10-11T23:30:00Z</dcterms:created>
  <dcterms:modified xsi:type="dcterms:W3CDTF">2018-10-11T23:30:00Z</dcterms:modified>
</cp:coreProperties>
</file>