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82B" w:rsidRPr="002E082B" w:rsidRDefault="002E082B" w:rsidP="00602264">
      <w:pPr>
        <w:pStyle w:val="ListParagraph"/>
        <w:jc w:val="center"/>
        <w:rPr>
          <w:b/>
          <w:color w:val="1F497D"/>
          <w:sz w:val="28"/>
          <w:szCs w:val="28"/>
        </w:rPr>
      </w:pPr>
      <w:r>
        <w:rPr>
          <w:b/>
          <w:color w:val="1F497D"/>
          <w:sz w:val="28"/>
          <w:szCs w:val="28"/>
        </w:rPr>
        <w:t xml:space="preserve">Alaska </w:t>
      </w:r>
      <w:r w:rsidR="00602264" w:rsidRPr="002E082B">
        <w:rPr>
          <w:b/>
          <w:color w:val="1F497D"/>
          <w:sz w:val="28"/>
          <w:szCs w:val="28"/>
        </w:rPr>
        <w:t xml:space="preserve">CACFP Food Substitutions </w:t>
      </w:r>
    </w:p>
    <w:p w:rsidR="00602264" w:rsidRPr="002E082B" w:rsidRDefault="00602264" w:rsidP="002E082B">
      <w:pPr>
        <w:pStyle w:val="ListParagraph"/>
        <w:jc w:val="center"/>
        <w:rPr>
          <w:b/>
          <w:color w:val="1F497D"/>
          <w:sz w:val="28"/>
          <w:szCs w:val="28"/>
        </w:rPr>
      </w:pPr>
      <w:proofErr w:type="gramStart"/>
      <w:r w:rsidRPr="002E082B">
        <w:rPr>
          <w:b/>
          <w:color w:val="1F497D"/>
          <w:sz w:val="28"/>
          <w:szCs w:val="28"/>
        </w:rPr>
        <w:t>due</w:t>
      </w:r>
      <w:proofErr w:type="gramEnd"/>
      <w:r w:rsidRPr="002E082B">
        <w:rPr>
          <w:b/>
          <w:color w:val="1F497D"/>
          <w:sz w:val="28"/>
          <w:szCs w:val="28"/>
        </w:rPr>
        <w:t xml:space="preserve"> to Disability, </w:t>
      </w:r>
      <w:r w:rsidR="002E082B" w:rsidRPr="002E082B">
        <w:rPr>
          <w:b/>
          <w:color w:val="1F497D"/>
          <w:sz w:val="28"/>
          <w:szCs w:val="28"/>
        </w:rPr>
        <w:t xml:space="preserve">Allergy, Religion </w:t>
      </w:r>
      <w:r w:rsidRPr="002E082B">
        <w:rPr>
          <w:b/>
          <w:color w:val="1F497D"/>
          <w:sz w:val="28"/>
          <w:szCs w:val="28"/>
        </w:rPr>
        <w:t>or Parent Preference</w:t>
      </w:r>
    </w:p>
    <w:p w:rsidR="00602264" w:rsidRPr="002E082B" w:rsidRDefault="00602264" w:rsidP="00602264">
      <w:pPr>
        <w:pStyle w:val="ListParagraph"/>
        <w:jc w:val="center"/>
        <w:rPr>
          <w:b/>
          <w:color w:val="1F497D"/>
          <w:sz w:val="28"/>
          <w:szCs w:val="28"/>
        </w:rPr>
      </w:pPr>
      <w:r w:rsidRPr="002E082B">
        <w:rPr>
          <w:b/>
          <w:color w:val="1F497D"/>
          <w:sz w:val="28"/>
          <w:szCs w:val="28"/>
        </w:rPr>
        <w:t>Fact Sheet</w:t>
      </w:r>
      <w:r w:rsidR="00704F96">
        <w:rPr>
          <w:b/>
          <w:color w:val="1F497D"/>
          <w:sz w:val="28"/>
          <w:szCs w:val="28"/>
        </w:rPr>
        <w:t xml:space="preserve"> 2015</w:t>
      </w:r>
    </w:p>
    <w:p w:rsidR="00602264" w:rsidRPr="002E082B" w:rsidRDefault="00602264" w:rsidP="00602264">
      <w:pPr>
        <w:rPr>
          <w:color w:val="1F497D"/>
        </w:rPr>
      </w:pPr>
    </w:p>
    <w:p w:rsidR="00602264" w:rsidRPr="002E082B" w:rsidRDefault="00602264" w:rsidP="00DA7C17">
      <w:pPr>
        <w:pStyle w:val="ListParagraph"/>
        <w:numPr>
          <w:ilvl w:val="0"/>
          <w:numId w:val="9"/>
        </w:numPr>
        <w:rPr>
          <w:color w:val="1F497D"/>
        </w:rPr>
      </w:pPr>
      <w:r w:rsidRPr="002E082B">
        <w:rPr>
          <w:color w:val="1F497D"/>
        </w:rPr>
        <w:t xml:space="preserve">When a child has a medical or religious reason for needing food substitutions the Center needs to have a medical or religious statement on file.    </w:t>
      </w:r>
    </w:p>
    <w:p w:rsidR="00602264" w:rsidRPr="002E082B" w:rsidRDefault="00602264" w:rsidP="00DA7C17">
      <w:pPr>
        <w:ind w:left="90"/>
        <w:rPr>
          <w:color w:val="1F497D"/>
        </w:rPr>
      </w:pPr>
    </w:p>
    <w:p w:rsidR="00602264" w:rsidRPr="002E082B" w:rsidRDefault="000E7193" w:rsidP="00DA7C17">
      <w:pPr>
        <w:pStyle w:val="ListParagraph"/>
        <w:numPr>
          <w:ilvl w:val="1"/>
          <w:numId w:val="9"/>
        </w:numPr>
        <w:rPr>
          <w:color w:val="1F497D"/>
        </w:rPr>
      </w:pPr>
      <w:r>
        <w:rPr>
          <w:color w:val="1F497D"/>
        </w:rPr>
        <w:t xml:space="preserve">Child with disability </w:t>
      </w:r>
      <w:r w:rsidR="00DA7C17" w:rsidRPr="002E082B">
        <w:rPr>
          <w:color w:val="1F497D"/>
        </w:rPr>
        <w:t>- C</w:t>
      </w:r>
      <w:r w:rsidR="00602264" w:rsidRPr="002E082B">
        <w:rPr>
          <w:color w:val="1F497D"/>
        </w:rPr>
        <w:t xml:space="preserve">enter MUST have statement </w:t>
      </w:r>
      <w:r w:rsidR="00DA7C17" w:rsidRPr="002E082B">
        <w:rPr>
          <w:color w:val="1F497D"/>
        </w:rPr>
        <w:t xml:space="preserve">signed by a </w:t>
      </w:r>
      <w:r w:rsidR="0051491C">
        <w:rPr>
          <w:color w:val="1F497D"/>
        </w:rPr>
        <w:t>recognized medical authority</w:t>
      </w:r>
      <w:r w:rsidR="00DA7C17" w:rsidRPr="002E082B">
        <w:rPr>
          <w:color w:val="1F497D"/>
        </w:rPr>
        <w:t xml:space="preserve"> </w:t>
      </w:r>
      <w:r w:rsidR="00602264" w:rsidRPr="002E082B">
        <w:rPr>
          <w:color w:val="1F497D"/>
        </w:rPr>
        <w:t>on file</w:t>
      </w:r>
      <w:r w:rsidR="00DA7C17" w:rsidRPr="002E082B">
        <w:rPr>
          <w:color w:val="1F497D"/>
        </w:rPr>
        <w:t xml:space="preserve"> </w:t>
      </w:r>
      <w:r w:rsidR="00602264" w:rsidRPr="002E082B">
        <w:rPr>
          <w:color w:val="1F497D"/>
        </w:rPr>
        <w:t xml:space="preserve">and provide all </w:t>
      </w:r>
      <w:r w:rsidR="00DA7C17" w:rsidRPr="002E082B">
        <w:rPr>
          <w:color w:val="1F497D"/>
        </w:rPr>
        <w:t>substitutions indicated in this statement</w:t>
      </w:r>
      <w:r w:rsidR="00602264" w:rsidRPr="002E082B">
        <w:rPr>
          <w:color w:val="1F497D"/>
        </w:rPr>
        <w:t>.  If the disability makes the child unable to have all CACFP components that meet the CACFP meal pattern then the Center can still claim the meal by following the guidelines from the medical authority that are listed on the medical statement</w:t>
      </w:r>
    </w:p>
    <w:p w:rsidR="00602264" w:rsidRPr="002E082B" w:rsidRDefault="00602264" w:rsidP="00DA7C17">
      <w:pPr>
        <w:pStyle w:val="ListParagraph"/>
        <w:numPr>
          <w:ilvl w:val="1"/>
          <w:numId w:val="9"/>
        </w:numPr>
        <w:rPr>
          <w:color w:val="1F497D"/>
        </w:rPr>
      </w:pPr>
      <w:bookmarkStart w:id="0" w:name="_GoBack"/>
      <w:bookmarkEnd w:id="0"/>
      <w:r w:rsidRPr="002E082B">
        <w:rPr>
          <w:color w:val="1F497D"/>
        </w:rPr>
        <w:t>Child with allergy or re</w:t>
      </w:r>
      <w:r w:rsidR="00DA7C17" w:rsidRPr="002E082B">
        <w:rPr>
          <w:color w:val="1F497D"/>
        </w:rPr>
        <w:t>ligious reason – C</w:t>
      </w:r>
      <w:r w:rsidRPr="002E082B">
        <w:rPr>
          <w:color w:val="1F497D"/>
        </w:rPr>
        <w:t xml:space="preserve">enter MUST have medical statement </w:t>
      </w:r>
      <w:r w:rsidR="0051491C">
        <w:rPr>
          <w:color w:val="1F497D"/>
        </w:rPr>
        <w:t xml:space="preserve">(or letter from religious organization) </w:t>
      </w:r>
      <w:r w:rsidRPr="002E082B">
        <w:rPr>
          <w:color w:val="1F497D"/>
        </w:rPr>
        <w:t xml:space="preserve">on file and has </w:t>
      </w:r>
      <w:r w:rsidR="002E082B">
        <w:rPr>
          <w:color w:val="1F497D"/>
        </w:rPr>
        <w:t xml:space="preserve">the </w:t>
      </w:r>
      <w:r w:rsidRPr="002E082B">
        <w:rPr>
          <w:color w:val="1F497D"/>
        </w:rPr>
        <w:t xml:space="preserve">option to substitute.  </w:t>
      </w:r>
    </w:p>
    <w:p w:rsidR="00602264" w:rsidRPr="002E082B" w:rsidRDefault="00602264" w:rsidP="00DA7C17">
      <w:pPr>
        <w:pStyle w:val="ListParagraph"/>
        <w:numPr>
          <w:ilvl w:val="2"/>
          <w:numId w:val="9"/>
        </w:numPr>
        <w:rPr>
          <w:color w:val="1F497D"/>
        </w:rPr>
      </w:pPr>
      <w:r w:rsidRPr="002E082B">
        <w:rPr>
          <w:color w:val="1F497D"/>
        </w:rPr>
        <w:t xml:space="preserve">If center substitutes within the same component group then the meal is claimable.  </w:t>
      </w:r>
    </w:p>
    <w:p w:rsidR="00602264" w:rsidRPr="002E082B" w:rsidRDefault="00602264" w:rsidP="00DA7C17">
      <w:pPr>
        <w:pStyle w:val="ListParagraph"/>
        <w:numPr>
          <w:ilvl w:val="2"/>
          <w:numId w:val="9"/>
        </w:numPr>
        <w:rPr>
          <w:color w:val="1F497D"/>
        </w:rPr>
      </w:pPr>
      <w:r w:rsidRPr="002E082B">
        <w:rPr>
          <w:color w:val="1F497D"/>
        </w:rPr>
        <w:t xml:space="preserve">If parent brings in the substitute ITEM </w:t>
      </w:r>
      <w:r w:rsidR="001E428B" w:rsidRPr="002E082B">
        <w:rPr>
          <w:color w:val="1F497D"/>
        </w:rPr>
        <w:t xml:space="preserve">within the same component group </w:t>
      </w:r>
      <w:r w:rsidRPr="002E082B">
        <w:rPr>
          <w:color w:val="1F497D"/>
        </w:rPr>
        <w:t>that the child is allergic to</w:t>
      </w:r>
      <w:r w:rsidR="00DA7C17" w:rsidRPr="002E082B">
        <w:rPr>
          <w:color w:val="1F497D"/>
        </w:rPr>
        <w:t>,</w:t>
      </w:r>
      <w:r w:rsidRPr="002E082B">
        <w:rPr>
          <w:color w:val="1F497D"/>
        </w:rPr>
        <w:t xml:space="preserve"> then the center can claim the meal.  If the child is allergic to many items on the menu the parent can sub more than one item</w:t>
      </w:r>
      <w:r w:rsidR="001E428B" w:rsidRPr="002E082B">
        <w:rPr>
          <w:color w:val="1F497D"/>
        </w:rPr>
        <w:t xml:space="preserve"> (within the same component groups)</w:t>
      </w:r>
      <w:r w:rsidRPr="002E082B">
        <w:rPr>
          <w:color w:val="1F497D"/>
        </w:rPr>
        <w:t xml:space="preserve">, but the center MUST serve at least one item in order to claim the meal.  </w:t>
      </w:r>
    </w:p>
    <w:p w:rsidR="00602264" w:rsidRPr="002E082B" w:rsidRDefault="00602264" w:rsidP="00DA7C17">
      <w:pPr>
        <w:pStyle w:val="ListParagraph"/>
        <w:numPr>
          <w:ilvl w:val="2"/>
          <w:numId w:val="9"/>
        </w:numPr>
        <w:rPr>
          <w:color w:val="1F497D"/>
        </w:rPr>
      </w:pPr>
      <w:r w:rsidRPr="002E082B">
        <w:rPr>
          <w:color w:val="1F497D"/>
        </w:rPr>
        <w:t>In order for the center to claim the meal the child must be served all components to meet the CACFP meal pattern.  (this is different than with a disability)</w:t>
      </w:r>
    </w:p>
    <w:p w:rsidR="00602264" w:rsidRPr="005F49DB" w:rsidRDefault="00602264" w:rsidP="00602264">
      <w:pPr>
        <w:pStyle w:val="ListParagraph"/>
        <w:ind w:left="1080"/>
        <w:rPr>
          <w:color w:val="1F497D"/>
          <w:sz w:val="18"/>
          <w:szCs w:val="18"/>
        </w:rPr>
      </w:pPr>
    </w:p>
    <w:p w:rsidR="00602264" w:rsidRPr="002E082B" w:rsidRDefault="001E428B" w:rsidP="00DA7C17">
      <w:pPr>
        <w:pStyle w:val="ListParagraph"/>
        <w:numPr>
          <w:ilvl w:val="0"/>
          <w:numId w:val="9"/>
        </w:numPr>
        <w:rPr>
          <w:color w:val="1F497D"/>
        </w:rPr>
      </w:pPr>
      <w:r w:rsidRPr="002E082B">
        <w:rPr>
          <w:color w:val="1F497D"/>
        </w:rPr>
        <w:t xml:space="preserve">For parent preference </w:t>
      </w:r>
      <w:r w:rsidR="00DA7C17" w:rsidRPr="002E082B">
        <w:rPr>
          <w:color w:val="1F497D"/>
        </w:rPr>
        <w:t xml:space="preserve">- </w:t>
      </w:r>
      <w:r w:rsidRPr="002E082B">
        <w:rPr>
          <w:color w:val="1F497D"/>
        </w:rPr>
        <w:t>Centers can</w:t>
      </w:r>
      <w:r w:rsidR="00602264" w:rsidRPr="002E082B">
        <w:rPr>
          <w:color w:val="1F497D"/>
        </w:rPr>
        <w:t xml:space="preserve"> make substitutions within the meal</w:t>
      </w:r>
      <w:r w:rsidRPr="002E082B">
        <w:rPr>
          <w:color w:val="1F497D"/>
        </w:rPr>
        <w:t xml:space="preserve"> pattern and can claim the meal</w:t>
      </w:r>
      <w:r w:rsidR="002E082B">
        <w:rPr>
          <w:color w:val="1F497D"/>
        </w:rPr>
        <w:t>.</w:t>
      </w:r>
    </w:p>
    <w:p w:rsidR="00602264" w:rsidRPr="002E082B" w:rsidRDefault="00602264" w:rsidP="00DA7C17">
      <w:pPr>
        <w:pStyle w:val="ListParagraph"/>
        <w:numPr>
          <w:ilvl w:val="1"/>
          <w:numId w:val="9"/>
        </w:numPr>
        <w:rPr>
          <w:color w:val="1F497D"/>
        </w:rPr>
      </w:pPr>
      <w:r w:rsidRPr="002E082B">
        <w:rPr>
          <w:color w:val="1F497D"/>
        </w:rPr>
        <w:t>Center should have a statement on file from parent as to why they are substituting and  </w:t>
      </w:r>
      <w:r w:rsidR="001E428B" w:rsidRPr="002E082B">
        <w:rPr>
          <w:color w:val="1F497D"/>
        </w:rPr>
        <w:t xml:space="preserve">Center </w:t>
      </w:r>
      <w:r w:rsidRPr="002E082B">
        <w:rPr>
          <w:color w:val="1F497D"/>
        </w:rPr>
        <w:t>MUST supply the</w:t>
      </w:r>
      <w:r w:rsidR="000E7193">
        <w:rPr>
          <w:color w:val="1F497D"/>
        </w:rPr>
        <w:t xml:space="preserve"> creditable</w:t>
      </w:r>
      <w:r w:rsidRPr="002E082B">
        <w:rPr>
          <w:color w:val="1F497D"/>
        </w:rPr>
        <w:t xml:space="preserve"> substitutions</w:t>
      </w:r>
      <w:r w:rsidR="000E7193">
        <w:rPr>
          <w:color w:val="1F497D"/>
        </w:rPr>
        <w:t xml:space="preserve"> within same component group</w:t>
      </w:r>
      <w:r w:rsidRPr="002E082B">
        <w:rPr>
          <w:color w:val="1F497D"/>
        </w:rPr>
        <w:t xml:space="preserve"> in order to claim the meal</w:t>
      </w:r>
    </w:p>
    <w:p w:rsidR="00602264" w:rsidRPr="002E082B" w:rsidRDefault="000E7193" w:rsidP="002E082B">
      <w:pPr>
        <w:pStyle w:val="ListParagraph"/>
        <w:numPr>
          <w:ilvl w:val="2"/>
          <w:numId w:val="9"/>
        </w:numPr>
        <w:rPr>
          <w:color w:val="1F497D"/>
        </w:rPr>
      </w:pPr>
      <w:r>
        <w:rPr>
          <w:color w:val="1F497D"/>
        </w:rPr>
        <w:t xml:space="preserve">If parent provides the </w:t>
      </w:r>
      <w:r w:rsidR="00602264" w:rsidRPr="002E082B">
        <w:rPr>
          <w:color w:val="1F497D"/>
        </w:rPr>
        <w:t>substitutions the center MAY NOT claim the meal</w:t>
      </w:r>
    </w:p>
    <w:p w:rsidR="002E082B" w:rsidRPr="002E082B" w:rsidRDefault="00602264" w:rsidP="002E082B">
      <w:pPr>
        <w:pStyle w:val="ListParagraph"/>
        <w:numPr>
          <w:ilvl w:val="2"/>
          <w:numId w:val="9"/>
        </w:numPr>
        <w:rPr>
          <w:color w:val="1F497D"/>
        </w:rPr>
      </w:pPr>
      <w:r w:rsidRPr="002E082B">
        <w:rPr>
          <w:color w:val="1F497D"/>
        </w:rPr>
        <w:t xml:space="preserve">The parent’s substitutions </w:t>
      </w:r>
      <w:r w:rsidR="002E082B">
        <w:rPr>
          <w:color w:val="1F497D"/>
        </w:rPr>
        <w:t>MUST</w:t>
      </w:r>
      <w:r w:rsidRPr="002E082B">
        <w:rPr>
          <w:color w:val="1F497D"/>
        </w:rPr>
        <w:t xml:space="preserve"> be within the CACFP meal pattern per licensing regulations – even though the center cannot claim the meal</w:t>
      </w:r>
    </w:p>
    <w:p w:rsidR="002E082B" w:rsidRPr="005F49DB" w:rsidRDefault="002E082B" w:rsidP="002E082B">
      <w:pPr>
        <w:rPr>
          <w:color w:val="1F497D"/>
          <w:sz w:val="18"/>
          <w:szCs w:val="18"/>
        </w:rPr>
      </w:pPr>
    </w:p>
    <w:p w:rsidR="00602264" w:rsidRPr="002E082B" w:rsidRDefault="00602264" w:rsidP="002E082B">
      <w:pPr>
        <w:pStyle w:val="ListParagraph"/>
        <w:numPr>
          <w:ilvl w:val="0"/>
          <w:numId w:val="9"/>
        </w:numPr>
        <w:rPr>
          <w:color w:val="1F497D"/>
        </w:rPr>
      </w:pPr>
      <w:r w:rsidRPr="002E082B">
        <w:rPr>
          <w:color w:val="1F497D"/>
        </w:rPr>
        <w:t>Milk has different requirements:</w:t>
      </w:r>
    </w:p>
    <w:p w:rsidR="00602264" w:rsidRPr="002E082B" w:rsidRDefault="002E082B" w:rsidP="002E082B">
      <w:pPr>
        <w:pStyle w:val="ListParagraph"/>
        <w:numPr>
          <w:ilvl w:val="1"/>
          <w:numId w:val="10"/>
        </w:numPr>
        <w:rPr>
          <w:color w:val="1F497D"/>
        </w:rPr>
      </w:pPr>
      <w:r>
        <w:rPr>
          <w:color w:val="1F497D"/>
        </w:rPr>
        <w:t>Center n</w:t>
      </w:r>
      <w:r w:rsidR="00602264" w:rsidRPr="002E082B">
        <w:rPr>
          <w:color w:val="1F497D"/>
        </w:rPr>
        <w:t>eed</w:t>
      </w:r>
      <w:r>
        <w:rPr>
          <w:color w:val="1F497D"/>
        </w:rPr>
        <w:t>s a</w:t>
      </w:r>
      <w:r w:rsidR="00602264" w:rsidRPr="002E082B">
        <w:rPr>
          <w:color w:val="1F497D"/>
        </w:rPr>
        <w:t xml:space="preserve"> medical statement/parent statement/religious statement on file </w:t>
      </w:r>
      <w:r>
        <w:rPr>
          <w:color w:val="1F497D"/>
        </w:rPr>
        <w:t xml:space="preserve">for each child who is receiving a </w:t>
      </w:r>
      <w:r w:rsidR="00602264" w:rsidRPr="002E082B">
        <w:rPr>
          <w:color w:val="1F497D"/>
        </w:rPr>
        <w:t>milk substitution</w:t>
      </w:r>
    </w:p>
    <w:p w:rsidR="00602264" w:rsidRPr="002E082B" w:rsidRDefault="00602264" w:rsidP="002E082B">
      <w:pPr>
        <w:pStyle w:val="ListParagraph"/>
        <w:numPr>
          <w:ilvl w:val="1"/>
          <w:numId w:val="10"/>
        </w:numPr>
        <w:rPr>
          <w:color w:val="1F497D"/>
        </w:rPr>
      </w:pPr>
      <w:r w:rsidRPr="002E082B">
        <w:rPr>
          <w:color w:val="1F497D"/>
        </w:rPr>
        <w:t xml:space="preserve">Center or parent can make the substitution and center can claim meal – as long as the milk substitution is one of the </w:t>
      </w:r>
      <w:r w:rsidR="002328C6">
        <w:rPr>
          <w:color w:val="1F497D"/>
        </w:rPr>
        <w:t>Alaska approved substitutes</w:t>
      </w:r>
      <w:r w:rsidRPr="002E082B">
        <w:rPr>
          <w:color w:val="1F497D"/>
        </w:rPr>
        <w:t xml:space="preserve"> that meet the nutrit</w:t>
      </w:r>
      <w:r w:rsidR="002328C6">
        <w:rPr>
          <w:color w:val="1F497D"/>
        </w:rPr>
        <w:t xml:space="preserve">ional equivalent to cow’s milk  (August 2015: </w:t>
      </w:r>
      <w:r w:rsidRPr="002E082B">
        <w:rPr>
          <w:color w:val="1F497D"/>
        </w:rPr>
        <w:t>Pacific Ultra Soy, 8</w:t>
      </w:r>
      <w:r w:rsidRPr="002E082B">
        <w:rPr>
          <w:color w:val="1F497D"/>
          <w:vertAlign w:val="superscript"/>
        </w:rPr>
        <w:t>th</w:t>
      </w:r>
      <w:r w:rsidRPr="002E082B">
        <w:rPr>
          <w:color w:val="1F497D"/>
        </w:rPr>
        <w:t xml:space="preserve"> Continent Soy, or Pearl </w:t>
      </w:r>
      <w:r w:rsidR="002328C6">
        <w:rPr>
          <w:color w:val="1F497D"/>
        </w:rPr>
        <w:t xml:space="preserve">Smart Soymilk, Kirkland Signature Organic Soymilk Plain, Great Value Original Soymilk, </w:t>
      </w:r>
      <w:proofErr w:type="spellStart"/>
      <w:r w:rsidR="002328C6">
        <w:rPr>
          <w:color w:val="1F497D"/>
        </w:rPr>
        <w:t>Sunrich</w:t>
      </w:r>
      <w:proofErr w:type="spellEnd"/>
      <w:r w:rsidR="002328C6">
        <w:rPr>
          <w:color w:val="1F497D"/>
        </w:rPr>
        <w:t xml:space="preserve"> Naturals Original &amp; Vanilla Soymilk</w:t>
      </w:r>
      <w:r w:rsidRPr="002E082B">
        <w:rPr>
          <w:color w:val="1F497D"/>
        </w:rPr>
        <w:t>)</w:t>
      </w:r>
    </w:p>
    <w:p w:rsidR="001E428B" w:rsidRPr="002E082B" w:rsidRDefault="001E428B" w:rsidP="002E082B">
      <w:pPr>
        <w:pStyle w:val="ListParagraph"/>
        <w:numPr>
          <w:ilvl w:val="1"/>
          <w:numId w:val="10"/>
        </w:numPr>
        <w:rPr>
          <w:color w:val="1F497D"/>
        </w:rPr>
      </w:pPr>
      <w:r w:rsidRPr="002E082B">
        <w:rPr>
          <w:color w:val="1F497D"/>
        </w:rPr>
        <w:t>If non-creditable milk is served then Center MAY NOT claim the meal</w:t>
      </w:r>
    </w:p>
    <w:p w:rsidR="001E428B" w:rsidRDefault="00602264" w:rsidP="002E082B">
      <w:pPr>
        <w:pStyle w:val="ListParagraph"/>
        <w:numPr>
          <w:ilvl w:val="1"/>
          <w:numId w:val="10"/>
        </w:numPr>
        <w:rPr>
          <w:color w:val="1F497D"/>
        </w:rPr>
      </w:pPr>
      <w:r w:rsidRPr="002E082B">
        <w:rPr>
          <w:color w:val="1F497D"/>
        </w:rPr>
        <w:t xml:space="preserve">Any </w:t>
      </w:r>
      <w:r w:rsidRPr="002E082B">
        <w:rPr>
          <w:b/>
          <w:color w:val="1F497D"/>
        </w:rPr>
        <w:t>cow’s milk</w:t>
      </w:r>
      <w:r w:rsidRPr="002E082B">
        <w:rPr>
          <w:color w:val="1F497D"/>
        </w:rPr>
        <w:t xml:space="preserve"> that is within the guidelines (non-fat, 1% for 2 years and older) is creditable if it is pasteurized – so organic would be acceptable.  The lactose free milks in the proper fat content are also acceptable</w:t>
      </w:r>
      <w:r w:rsidR="0051491C">
        <w:rPr>
          <w:color w:val="1F497D"/>
        </w:rPr>
        <w:t>, along with goat milk in the proper fat content</w:t>
      </w:r>
      <w:r w:rsidRPr="002E082B">
        <w:rPr>
          <w:color w:val="1F497D"/>
        </w:rPr>
        <w:t>.</w:t>
      </w:r>
    </w:p>
    <w:p w:rsidR="000E7193" w:rsidRPr="005F49DB" w:rsidRDefault="000E7193" w:rsidP="002E082B">
      <w:pPr>
        <w:rPr>
          <w:color w:val="1F497D"/>
          <w:sz w:val="18"/>
          <w:szCs w:val="18"/>
        </w:rPr>
      </w:pPr>
    </w:p>
    <w:p w:rsidR="000E7193" w:rsidRPr="000E7193" w:rsidRDefault="000E7193" w:rsidP="002E082B">
      <w:pPr>
        <w:rPr>
          <w:color w:val="1F497D"/>
          <w:u w:val="single"/>
        </w:rPr>
      </w:pPr>
      <w:r w:rsidRPr="000E7193">
        <w:rPr>
          <w:color w:val="1F497D"/>
          <w:u w:val="single"/>
        </w:rPr>
        <w:t>Documentation for Alternate Meals</w:t>
      </w:r>
    </w:p>
    <w:p w:rsidR="000E7193" w:rsidRDefault="000E7193" w:rsidP="002E082B">
      <w:pPr>
        <w:rPr>
          <w:color w:val="1F497D"/>
        </w:rPr>
      </w:pPr>
      <w:r>
        <w:rPr>
          <w:color w:val="1F497D"/>
        </w:rPr>
        <w:t>All meals must have back-up documentation in order to be claimed for reimbursement through USDA CACFP.  For most meals the center’s working menu for the day is the back-up required.  Documentation must also be on file for the children eating different food item(s).</w:t>
      </w:r>
    </w:p>
    <w:p w:rsidR="005F49DB" w:rsidRDefault="005F49DB" w:rsidP="002E082B">
      <w:pPr>
        <w:rPr>
          <w:color w:val="1F497D"/>
        </w:rPr>
      </w:pPr>
    </w:p>
    <w:p w:rsidR="000E7193" w:rsidRDefault="000E7193" w:rsidP="002E082B">
      <w:pPr>
        <w:rPr>
          <w:color w:val="1F497D"/>
        </w:rPr>
      </w:pPr>
      <w:r>
        <w:rPr>
          <w:color w:val="1F497D"/>
        </w:rPr>
        <w:t xml:space="preserve">Centers will decide how to document alternate meals depending on how many alternate meals they are serving.  Sometimes it’s easiest to document a child’s name and food items served on the working menu for the entire center and other times it requires a separate menu for a child or children.  </w:t>
      </w:r>
    </w:p>
    <w:sectPr w:rsidR="000E7193" w:rsidSect="0014155F">
      <w:footerReference w:type="default" r:id="rId8"/>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C17" w:rsidRDefault="00DA7C17" w:rsidP="001E428B">
      <w:r>
        <w:separator/>
      </w:r>
    </w:p>
  </w:endnote>
  <w:endnote w:type="continuationSeparator" w:id="0">
    <w:p w:rsidR="00DA7C17" w:rsidRDefault="00DA7C17" w:rsidP="001E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C17" w:rsidRDefault="0051491C">
    <w:pPr>
      <w:pStyle w:val="Footer"/>
    </w:pPr>
    <w:r>
      <w:t>Updated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C17" w:rsidRDefault="00DA7C17" w:rsidP="001E428B">
      <w:r>
        <w:separator/>
      </w:r>
    </w:p>
  </w:footnote>
  <w:footnote w:type="continuationSeparator" w:id="0">
    <w:p w:rsidR="00DA7C17" w:rsidRDefault="00DA7C17" w:rsidP="001E4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ED2"/>
    <w:multiLevelType w:val="hybridMultilevel"/>
    <w:tmpl w:val="E424F07C"/>
    <w:lvl w:ilvl="0" w:tplc="74A43526">
      <w:start w:val="1"/>
      <w:numFmt w:val="lowerLetter"/>
      <w:lvlText w:val="%1)"/>
      <w:lvlJc w:val="left"/>
      <w:pPr>
        <w:ind w:left="720" w:hanging="360"/>
      </w:pPr>
      <w:rPr>
        <w:rFonts w:ascii="Californian FB" w:eastAsiaTheme="minorHAnsi" w:hAnsi="Californian FB" w:cs="Times New Roman"/>
      </w:rPr>
    </w:lvl>
    <w:lvl w:ilvl="1" w:tplc="83CA7C16">
      <w:start w:val="1"/>
      <w:numFmt w:val="decimal"/>
      <w:lvlText w:val="%2)"/>
      <w:lvlJc w:val="left"/>
      <w:pPr>
        <w:ind w:left="1440" w:hanging="360"/>
      </w:pPr>
      <w:rPr>
        <w:rFonts w:ascii="Californian FB" w:eastAsiaTheme="minorHAnsi" w:hAnsi="Californian FB" w:cs="Times New Roman"/>
      </w:r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2233551"/>
    <w:multiLevelType w:val="hybridMultilevel"/>
    <w:tmpl w:val="378C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90CD4"/>
    <w:multiLevelType w:val="hybridMultilevel"/>
    <w:tmpl w:val="9ADA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85B5D"/>
    <w:multiLevelType w:val="hybridMultilevel"/>
    <w:tmpl w:val="84565EC0"/>
    <w:lvl w:ilvl="0" w:tplc="83CA7C16">
      <w:start w:val="1"/>
      <w:numFmt w:val="decimal"/>
      <w:lvlText w:val="%1)"/>
      <w:lvlJc w:val="left"/>
      <w:pPr>
        <w:ind w:left="720" w:hanging="360"/>
      </w:pPr>
      <w:rPr>
        <w:rFonts w:ascii="Californian FB" w:eastAsiaTheme="minorHAnsi" w:hAnsi="Californian FB"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9346C"/>
    <w:multiLevelType w:val="hybridMultilevel"/>
    <w:tmpl w:val="AE1013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F01C1"/>
    <w:multiLevelType w:val="hybridMultilevel"/>
    <w:tmpl w:val="D024A9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17322"/>
    <w:multiLevelType w:val="hybridMultilevel"/>
    <w:tmpl w:val="7BB08EE8"/>
    <w:lvl w:ilvl="0" w:tplc="83CA7C16">
      <w:start w:val="1"/>
      <w:numFmt w:val="decimal"/>
      <w:lvlText w:val="%1)"/>
      <w:lvlJc w:val="left"/>
      <w:pPr>
        <w:ind w:left="720" w:hanging="360"/>
      </w:pPr>
      <w:rPr>
        <w:rFonts w:ascii="Californian FB" w:eastAsiaTheme="minorHAnsi" w:hAnsi="Californian FB"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4A24F4"/>
    <w:multiLevelType w:val="hybridMultilevel"/>
    <w:tmpl w:val="9CB4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347D8"/>
    <w:multiLevelType w:val="hybridMultilevel"/>
    <w:tmpl w:val="C082D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837781"/>
    <w:multiLevelType w:val="hybridMultilevel"/>
    <w:tmpl w:val="A8787A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DA765E"/>
    <w:multiLevelType w:val="hybridMultilevel"/>
    <w:tmpl w:val="A23207C6"/>
    <w:lvl w:ilvl="0" w:tplc="83CA7C16">
      <w:start w:val="1"/>
      <w:numFmt w:val="decimal"/>
      <w:lvlText w:val="%1)"/>
      <w:lvlJc w:val="left"/>
      <w:pPr>
        <w:ind w:left="720" w:hanging="360"/>
      </w:pPr>
      <w:rPr>
        <w:rFonts w:ascii="Californian FB" w:eastAsiaTheme="minorHAnsi" w:hAnsi="Californian FB"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8"/>
  </w:num>
  <w:num w:numId="5">
    <w:abstractNumId w:val="5"/>
  </w:num>
  <w:num w:numId="6">
    <w:abstractNumId w:val="9"/>
  </w:num>
  <w:num w:numId="7">
    <w:abstractNumId w:val="4"/>
  </w:num>
  <w:num w:numId="8">
    <w:abstractNumId w:val="6"/>
  </w:num>
  <w:num w:numId="9">
    <w:abstractNumId w:val="3"/>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64"/>
    <w:rsid w:val="0000248A"/>
    <w:rsid w:val="00017478"/>
    <w:rsid w:val="0006302D"/>
    <w:rsid w:val="00067F71"/>
    <w:rsid w:val="000855C6"/>
    <w:rsid w:val="000A4A46"/>
    <w:rsid w:val="000C1CEB"/>
    <w:rsid w:val="000E0A10"/>
    <w:rsid w:val="000E7193"/>
    <w:rsid w:val="0011718F"/>
    <w:rsid w:val="0014155F"/>
    <w:rsid w:val="00182DB2"/>
    <w:rsid w:val="001A7F09"/>
    <w:rsid w:val="001D7BFC"/>
    <w:rsid w:val="001E428B"/>
    <w:rsid w:val="001E6CF1"/>
    <w:rsid w:val="002328C6"/>
    <w:rsid w:val="002702BC"/>
    <w:rsid w:val="002E082B"/>
    <w:rsid w:val="00304879"/>
    <w:rsid w:val="0032444D"/>
    <w:rsid w:val="00336398"/>
    <w:rsid w:val="00393799"/>
    <w:rsid w:val="003B265C"/>
    <w:rsid w:val="003D0643"/>
    <w:rsid w:val="0044706B"/>
    <w:rsid w:val="00464FCF"/>
    <w:rsid w:val="004B5D59"/>
    <w:rsid w:val="004E37D5"/>
    <w:rsid w:val="0051491C"/>
    <w:rsid w:val="005B0358"/>
    <w:rsid w:val="005C793A"/>
    <w:rsid w:val="005D02C7"/>
    <w:rsid w:val="005F49DB"/>
    <w:rsid w:val="00602264"/>
    <w:rsid w:val="006158DB"/>
    <w:rsid w:val="0063525E"/>
    <w:rsid w:val="00651F42"/>
    <w:rsid w:val="006529DC"/>
    <w:rsid w:val="00661F6F"/>
    <w:rsid w:val="006947F1"/>
    <w:rsid w:val="006A6C3D"/>
    <w:rsid w:val="00704F96"/>
    <w:rsid w:val="007126E7"/>
    <w:rsid w:val="007A3D40"/>
    <w:rsid w:val="008232B7"/>
    <w:rsid w:val="00896542"/>
    <w:rsid w:val="008E76D4"/>
    <w:rsid w:val="00951917"/>
    <w:rsid w:val="0096484E"/>
    <w:rsid w:val="00980961"/>
    <w:rsid w:val="009B4B77"/>
    <w:rsid w:val="009C57AD"/>
    <w:rsid w:val="009D413B"/>
    <w:rsid w:val="00A42520"/>
    <w:rsid w:val="00A51F05"/>
    <w:rsid w:val="00AC097F"/>
    <w:rsid w:val="00B101CB"/>
    <w:rsid w:val="00BD6F74"/>
    <w:rsid w:val="00BE5C13"/>
    <w:rsid w:val="00C17E64"/>
    <w:rsid w:val="00C931B6"/>
    <w:rsid w:val="00C947BC"/>
    <w:rsid w:val="00CA5E2B"/>
    <w:rsid w:val="00CB6C66"/>
    <w:rsid w:val="00D11EC7"/>
    <w:rsid w:val="00D47DA2"/>
    <w:rsid w:val="00D81F50"/>
    <w:rsid w:val="00DA7C17"/>
    <w:rsid w:val="00DF2493"/>
    <w:rsid w:val="00DF5414"/>
    <w:rsid w:val="00E27EB0"/>
    <w:rsid w:val="00E57B90"/>
    <w:rsid w:val="00E95C0B"/>
    <w:rsid w:val="00E97531"/>
    <w:rsid w:val="00F12E96"/>
    <w:rsid w:val="00F56577"/>
    <w:rsid w:val="00FC312C"/>
    <w:rsid w:val="00FD215C"/>
    <w:rsid w:val="00FE53DB"/>
    <w:rsid w:val="00FE5B13"/>
    <w:rsid w:val="00FF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A25FC3D-44D3-48B3-B963-FD3E2F00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26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264"/>
    <w:pPr>
      <w:ind w:left="720"/>
    </w:pPr>
  </w:style>
  <w:style w:type="paragraph" w:styleId="Header">
    <w:name w:val="header"/>
    <w:basedOn w:val="Normal"/>
    <w:link w:val="HeaderChar"/>
    <w:uiPriority w:val="99"/>
    <w:semiHidden/>
    <w:unhideWhenUsed/>
    <w:rsid w:val="001E428B"/>
    <w:pPr>
      <w:tabs>
        <w:tab w:val="center" w:pos="4680"/>
        <w:tab w:val="right" w:pos="9360"/>
      </w:tabs>
    </w:pPr>
  </w:style>
  <w:style w:type="character" w:customStyle="1" w:styleId="HeaderChar">
    <w:name w:val="Header Char"/>
    <w:basedOn w:val="DefaultParagraphFont"/>
    <w:link w:val="Header"/>
    <w:uiPriority w:val="99"/>
    <w:semiHidden/>
    <w:rsid w:val="001E428B"/>
    <w:rPr>
      <w:rFonts w:ascii="Times New Roman" w:hAnsi="Times New Roman" w:cs="Times New Roman"/>
      <w:sz w:val="24"/>
      <w:szCs w:val="24"/>
    </w:rPr>
  </w:style>
  <w:style w:type="paragraph" w:styleId="Footer">
    <w:name w:val="footer"/>
    <w:basedOn w:val="Normal"/>
    <w:link w:val="FooterChar"/>
    <w:uiPriority w:val="99"/>
    <w:semiHidden/>
    <w:unhideWhenUsed/>
    <w:rsid w:val="001E428B"/>
    <w:pPr>
      <w:tabs>
        <w:tab w:val="center" w:pos="4680"/>
        <w:tab w:val="right" w:pos="9360"/>
      </w:tabs>
    </w:pPr>
  </w:style>
  <w:style w:type="character" w:customStyle="1" w:styleId="FooterChar">
    <w:name w:val="Footer Char"/>
    <w:basedOn w:val="DefaultParagraphFont"/>
    <w:link w:val="Footer"/>
    <w:uiPriority w:val="99"/>
    <w:semiHidden/>
    <w:rsid w:val="001E42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B9F57-BB73-4AF7-AED0-38370AAA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Martin</dc:creator>
  <cp:keywords/>
  <dc:description/>
  <cp:lastModifiedBy>Martin, Ann Marie (EED)</cp:lastModifiedBy>
  <cp:revision>7</cp:revision>
  <cp:lastPrinted>2012-08-06T17:30:00Z</cp:lastPrinted>
  <dcterms:created xsi:type="dcterms:W3CDTF">2015-01-08T18:17:00Z</dcterms:created>
  <dcterms:modified xsi:type="dcterms:W3CDTF">2015-09-04T17:33:00Z</dcterms:modified>
</cp:coreProperties>
</file>