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7096D" w14:textId="6866D11F" w:rsidR="000A2B73" w:rsidRPr="008F6731" w:rsidRDefault="0080127F" w:rsidP="008F6731">
      <w:pPr>
        <w:pStyle w:val="BodyText"/>
        <w:jc w:val="center"/>
        <w:rPr>
          <w:rFonts w:asciiTheme="minorHAnsi" w:hAnsiTheme="minorHAnsi" w:cstheme="minorHAnsi"/>
          <w:b w:val="0"/>
        </w:rPr>
      </w:pPr>
      <w:r w:rsidRPr="008F6731">
        <w:rPr>
          <w:rFonts w:asciiTheme="minorHAnsi" w:hAnsiTheme="minorHAnsi" w:cstheme="minorHAnsi"/>
        </w:rPr>
        <w:t xml:space="preserve">CHILD NUTRITION PROGRAM STATE WAIVER REQUEST </w:t>
      </w:r>
    </w:p>
    <w:p w14:paraId="56BFCE3D" w14:textId="77777777" w:rsidR="000A2B73" w:rsidRPr="008F6731" w:rsidRDefault="000A2B73">
      <w:pPr>
        <w:pStyle w:val="BodyText"/>
        <w:spacing w:before="7"/>
        <w:rPr>
          <w:rFonts w:asciiTheme="minorHAnsi" w:hAnsiTheme="minorHAnsi" w:cstheme="minorHAnsi"/>
          <w:b w:val="0"/>
        </w:rPr>
      </w:pPr>
    </w:p>
    <w:p w14:paraId="1757D414" w14:textId="77777777" w:rsidR="000A2B73" w:rsidRPr="008F6731" w:rsidRDefault="0080127F" w:rsidP="008F6731">
      <w:pPr>
        <w:pStyle w:val="ListParagraph"/>
        <w:numPr>
          <w:ilvl w:val="0"/>
          <w:numId w:val="3"/>
        </w:numPr>
        <w:tabs>
          <w:tab w:val="left" w:pos="476"/>
        </w:tabs>
        <w:ind w:right="624" w:hanging="475"/>
        <w:jc w:val="left"/>
        <w:rPr>
          <w:rFonts w:asciiTheme="minorHAnsi" w:hAnsiTheme="minorHAnsi" w:cstheme="minorHAnsi"/>
          <w:b/>
          <w:sz w:val="24"/>
          <w:szCs w:val="24"/>
        </w:rPr>
      </w:pPr>
      <w:r w:rsidRPr="008F6731">
        <w:rPr>
          <w:rFonts w:asciiTheme="minorHAnsi" w:hAnsiTheme="minorHAnsi" w:cstheme="minorHAnsi"/>
          <w:b/>
          <w:sz w:val="24"/>
          <w:szCs w:val="24"/>
        </w:rPr>
        <w:t>State agency submitting waiver request and responsible State agency staff</w:t>
      </w:r>
      <w:r w:rsidRPr="008F6731">
        <w:rPr>
          <w:rFonts w:asciiTheme="minorHAnsi" w:hAnsiTheme="minorHAnsi" w:cstheme="minorHAnsi"/>
          <w:b/>
          <w:spacing w:val="-5"/>
          <w:sz w:val="24"/>
          <w:szCs w:val="24"/>
        </w:rPr>
        <w:t xml:space="preserve"> </w:t>
      </w:r>
      <w:r w:rsidRPr="008F6731">
        <w:rPr>
          <w:rFonts w:asciiTheme="minorHAnsi" w:hAnsiTheme="minorHAnsi" w:cstheme="minorHAnsi"/>
          <w:b/>
          <w:sz w:val="24"/>
          <w:szCs w:val="24"/>
        </w:rPr>
        <w:t>contact information:</w:t>
      </w:r>
    </w:p>
    <w:p w14:paraId="1F6FB58B" w14:textId="77777777" w:rsidR="008F6731" w:rsidRDefault="008F6731" w:rsidP="00AB192C">
      <w:pPr>
        <w:tabs>
          <w:tab w:val="left" w:pos="476"/>
        </w:tabs>
        <w:ind w:left="475" w:right="624"/>
        <w:rPr>
          <w:rFonts w:asciiTheme="minorHAnsi" w:hAnsiTheme="minorHAnsi" w:cstheme="minorHAnsi"/>
          <w:sz w:val="24"/>
          <w:szCs w:val="24"/>
        </w:rPr>
      </w:pPr>
    </w:p>
    <w:p w14:paraId="1B946AC4" w14:textId="38326D6F" w:rsidR="00AB192C" w:rsidRPr="008F6731" w:rsidRDefault="002736F3" w:rsidP="00AB192C">
      <w:pPr>
        <w:tabs>
          <w:tab w:val="left" w:pos="476"/>
        </w:tabs>
        <w:ind w:left="475" w:right="624"/>
        <w:rPr>
          <w:rFonts w:asciiTheme="minorHAnsi" w:hAnsiTheme="minorHAnsi" w:cstheme="minorHAnsi"/>
          <w:sz w:val="24"/>
          <w:szCs w:val="24"/>
        </w:rPr>
      </w:pPr>
      <w:r>
        <w:rPr>
          <w:rFonts w:asciiTheme="minorHAnsi" w:hAnsiTheme="minorHAnsi" w:cstheme="minorHAnsi"/>
          <w:sz w:val="24"/>
          <w:szCs w:val="24"/>
        </w:rPr>
        <w:t xml:space="preserve">Alaska </w:t>
      </w:r>
      <w:r w:rsidR="00AB192C" w:rsidRPr="008F6731">
        <w:rPr>
          <w:rFonts w:asciiTheme="minorHAnsi" w:hAnsiTheme="minorHAnsi" w:cstheme="minorHAnsi"/>
          <w:sz w:val="24"/>
          <w:szCs w:val="24"/>
        </w:rPr>
        <w:t>Department of Education</w:t>
      </w:r>
      <w:r>
        <w:rPr>
          <w:rFonts w:asciiTheme="minorHAnsi" w:hAnsiTheme="minorHAnsi" w:cstheme="minorHAnsi"/>
          <w:sz w:val="24"/>
          <w:szCs w:val="24"/>
        </w:rPr>
        <w:t xml:space="preserve"> &amp; Early Development</w:t>
      </w:r>
    </w:p>
    <w:p w14:paraId="27D0AFCE" w14:textId="77777777" w:rsidR="00AB192C" w:rsidRPr="008F6731" w:rsidRDefault="00AB192C" w:rsidP="00AB192C">
      <w:pPr>
        <w:tabs>
          <w:tab w:val="left" w:pos="476"/>
        </w:tabs>
        <w:ind w:left="475" w:right="624"/>
        <w:rPr>
          <w:rFonts w:asciiTheme="minorHAnsi" w:hAnsiTheme="minorHAnsi" w:cstheme="minorHAnsi"/>
          <w:sz w:val="24"/>
          <w:szCs w:val="24"/>
        </w:rPr>
      </w:pPr>
      <w:r w:rsidRPr="008F6731">
        <w:rPr>
          <w:rFonts w:asciiTheme="minorHAnsi" w:hAnsiTheme="minorHAnsi" w:cstheme="minorHAnsi"/>
          <w:sz w:val="24"/>
          <w:szCs w:val="24"/>
        </w:rPr>
        <w:t>Child Nutrition Programs</w:t>
      </w:r>
    </w:p>
    <w:p w14:paraId="0BF53A12" w14:textId="061405D1" w:rsidR="00AB192C" w:rsidRDefault="00DB7529" w:rsidP="00AB192C">
      <w:pPr>
        <w:tabs>
          <w:tab w:val="left" w:pos="476"/>
        </w:tabs>
        <w:ind w:left="475" w:right="624"/>
        <w:rPr>
          <w:rFonts w:asciiTheme="minorHAnsi" w:hAnsiTheme="minorHAnsi" w:cstheme="minorHAnsi"/>
          <w:sz w:val="24"/>
          <w:szCs w:val="24"/>
        </w:rPr>
      </w:pPr>
      <w:hyperlink r:id="rId7" w:history="1">
        <w:r w:rsidR="002736F3" w:rsidRPr="00B42293">
          <w:rPr>
            <w:rStyle w:val="Hyperlink"/>
            <w:rFonts w:asciiTheme="minorHAnsi" w:hAnsiTheme="minorHAnsi" w:cstheme="minorHAnsi"/>
            <w:sz w:val="24"/>
            <w:szCs w:val="24"/>
          </w:rPr>
          <w:t>Jo Dawson</w:t>
        </w:r>
      </w:hyperlink>
      <w:r w:rsidR="002736F3">
        <w:rPr>
          <w:rFonts w:asciiTheme="minorHAnsi" w:hAnsiTheme="minorHAnsi" w:cstheme="minorHAnsi"/>
          <w:sz w:val="24"/>
          <w:szCs w:val="24"/>
        </w:rPr>
        <w:t>, Program Manager</w:t>
      </w:r>
    </w:p>
    <w:p w14:paraId="68C1B71E" w14:textId="11747D45" w:rsidR="002736F3" w:rsidRDefault="002736F3" w:rsidP="00AB192C">
      <w:pPr>
        <w:tabs>
          <w:tab w:val="left" w:pos="476"/>
        </w:tabs>
        <w:ind w:left="475" w:right="624"/>
        <w:rPr>
          <w:rFonts w:asciiTheme="minorHAnsi" w:hAnsiTheme="minorHAnsi" w:cstheme="minorHAnsi"/>
          <w:sz w:val="24"/>
          <w:szCs w:val="24"/>
        </w:rPr>
      </w:pPr>
      <w:r>
        <w:rPr>
          <w:rFonts w:asciiTheme="minorHAnsi" w:hAnsiTheme="minorHAnsi" w:cstheme="minorHAnsi"/>
          <w:sz w:val="24"/>
          <w:szCs w:val="24"/>
        </w:rPr>
        <w:t>PO Box 110500</w:t>
      </w:r>
    </w:p>
    <w:p w14:paraId="3CF682FA" w14:textId="1242FBE4" w:rsidR="002736F3" w:rsidRDefault="002736F3" w:rsidP="00AB192C">
      <w:pPr>
        <w:tabs>
          <w:tab w:val="left" w:pos="476"/>
        </w:tabs>
        <w:ind w:left="475" w:right="624"/>
        <w:rPr>
          <w:rFonts w:asciiTheme="minorHAnsi" w:hAnsiTheme="minorHAnsi" w:cstheme="minorHAnsi"/>
          <w:sz w:val="24"/>
          <w:szCs w:val="24"/>
        </w:rPr>
      </w:pPr>
      <w:r>
        <w:rPr>
          <w:rFonts w:asciiTheme="minorHAnsi" w:hAnsiTheme="minorHAnsi" w:cstheme="minorHAnsi"/>
          <w:sz w:val="24"/>
          <w:szCs w:val="24"/>
        </w:rPr>
        <w:t>Juneau, AK  99811-0500</w:t>
      </w:r>
    </w:p>
    <w:p w14:paraId="2EC61D57" w14:textId="42290527" w:rsidR="002736F3" w:rsidRPr="008F6731" w:rsidRDefault="002736F3" w:rsidP="00AB192C">
      <w:pPr>
        <w:tabs>
          <w:tab w:val="left" w:pos="476"/>
        </w:tabs>
        <w:ind w:left="475" w:right="624"/>
        <w:rPr>
          <w:rFonts w:asciiTheme="minorHAnsi" w:hAnsiTheme="minorHAnsi" w:cstheme="minorHAnsi"/>
          <w:sz w:val="24"/>
          <w:szCs w:val="24"/>
        </w:rPr>
      </w:pPr>
      <w:r>
        <w:rPr>
          <w:rFonts w:asciiTheme="minorHAnsi" w:hAnsiTheme="minorHAnsi" w:cstheme="minorHAnsi"/>
          <w:sz w:val="24"/>
          <w:szCs w:val="24"/>
        </w:rPr>
        <w:t>907-465-8708</w:t>
      </w:r>
    </w:p>
    <w:p w14:paraId="79BF8505" w14:textId="77777777" w:rsidR="000A2B73" w:rsidRPr="008F6731" w:rsidRDefault="000A2B73">
      <w:pPr>
        <w:pStyle w:val="BodyText"/>
        <w:spacing w:before="9"/>
        <w:rPr>
          <w:rFonts w:asciiTheme="minorHAnsi" w:hAnsiTheme="minorHAnsi" w:cstheme="minorHAnsi"/>
        </w:rPr>
      </w:pPr>
    </w:p>
    <w:p w14:paraId="435F01BC" w14:textId="77777777" w:rsidR="000A2B73" w:rsidRPr="008F6731" w:rsidRDefault="0080127F" w:rsidP="008F6731">
      <w:pPr>
        <w:pStyle w:val="ListParagraph"/>
        <w:numPr>
          <w:ilvl w:val="0"/>
          <w:numId w:val="3"/>
        </w:numPr>
        <w:tabs>
          <w:tab w:val="left" w:pos="476"/>
        </w:tabs>
        <w:ind w:hanging="475"/>
        <w:jc w:val="left"/>
        <w:rPr>
          <w:rFonts w:asciiTheme="minorHAnsi" w:hAnsiTheme="minorHAnsi" w:cstheme="minorHAnsi"/>
          <w:b/>
          <w:sz w:val="24"/>
          <w:szCs w:val="24"/>
        </w:rPr>
      </w:pPr>
      <w:r w:rsidRPr="008F6731">
        <w:rPr>
          <w:rFonts w:asciiTheme="minorHAnsi" w:hAnsiTheme="minorHAnsi" w:cstheme="minorHAnsi"/>
          <w:b/>
          <w:sz w:val="24"/>
          <w:szCs w:val="24"/>
        </w:rPr>
        <w:t>Region:</w:t>
      </w:r>
      <w:r w:rsidR="00936179" w:rsidRPr="008F6731">
        <w:rPr>
          <w:rFonts w:asciiTheme="minorHAnsi" w:hAnsiTheme="minorHAnsi" w:cstheme="minorHAnsi"/>
          <w:b/>
          <w:sz w:val="24"/>
          <w:szCs w:val="24"/>
        </w:rPr>
        <w:t xml:space="preserve"> </w:t>
      </w:r>
      <w:r w:rsidR="00936179" w:rsidRPr="008F6731">
        <w:rPr>
          <w:rFonts w:asciiTheme="minorHAnsi" w:hAnsiTheme="minorHAnsi" w:cstheme="minorHAnsi"/>
          <w:sz w:val="24"/>
          <w:szCs w:val="24"/>
        </w:rPr>
        <w:t xml:space="preserve">Western </w:t>
      </w:r>
      <w:r w:rsidR="00AB192C" w:rsidRPr="008F6731">
        <w:rPr>
          <w:rFonts w:asciiTheme="minorHAnsi" w:hAnsiTheme="minorHAnsi" w:cstheme="minorHAnsi"/>
          <w:sz w:val="24"/>
          <w:szCs w:val="24"/>
        </w:rPr>
        <w:t>Region</w:t>
      </w:r>
    </w:p>
    <w:p w14:paraId="2ED258F2" w14:textId="77777777" w:rsidR="000A2B73" w:rsidRPr="008F6731" w:rsidRDefault="000A2B73">
      <w:pPr>
        <w:pStyle w:val="BodyText"/>
        <w:spacing w:before="6"/>
        <w:rPr>
          <w:rFonts w:asciiTheme="minorHAnsi" w:hAnsiTheme="minorHAnsi" w:cstheme="minorHAnsi"/>
        </w:rPr>
      </w:pPr>
    </w:p>
    <w:p w14:paraId="56AB18F9" w14:textId="77777777" w:rsidR="000A2B73" w:rsidRPr="008F6731" w:rsidRDefault="0080127F" w:rsidP="008F6731">
      <w:pPr>
        <w:pStyle w:val="ListParagraph"/>
        <w:numPr>
          <w:ilvl w:val="0"/>
          <w:numId w:val="3"/>
        </w:numPr>
        <w:tabs>
          <w:tab w:val="left" w:pos="476"/>
        </w:tabs>
        <w:ind w:right="668" w:hanging="475"/>
        <w:jc w:val="left"/>
        <w:rPr>
          <w:rFonts w:asciiTheme="minorHAnsi" w:hAnsiTheme="minorHAnsi" w:cstheme="minorHAnsi"/>
          <w:b/>
          <w:sz w:val="24"/>
          <w:szCs w:val="24"/>
        </w:rPr>
      </w:pPr>
      <w:r w:rsidRPr="008F6731">
        <w:rPr>
          <w:rFonts w:asciiTheme="minorHAnsi" w:hAnsiTheme="minorHAnsi" w:cstheme="minorHAnsi"/>
          <w:b/>
          <w:sz w:val="24"/>
          <w:szCs w:val="24"/>
        </w:rPr>
        <w:t>Eligible service providers participating in waiver and affirmation that they are in good</w:t>
      </w:r>
      <w:r w:rsidRPr="008F6731">
        <w:rPr>
          <w:rFonts w:asciiTheme="minorHAnsi" w:hAnsiTheme="minorHAnsi" w:cstheme="minorHAnsi"/>
          <w:b/>
          <w:spacing w:val="-1"/>
          <w:sz w:val="24"/>
          <w:szCs w:val="24"/>
        </w:rPr>
        <w:t xml:space="preserve"> </w:t>
      </w:r>
      <w:r w:rsidRPr="008F6731">
        <w:rPr>
          <w:rFonts w:asciiTheme="minorHAnsi" w:hAnsiTheme="minorHAnsi" w:cstheme="minorHAnsi"/>
          <w:b/>
          <w:sz w:val="24"/>
          <w:szCs w:val="24"/>
        </w:rPr>
        <w:t>standing:</w:t>
      </w:r>
    </w:p>
    <w:p w14:paraId="7CE9F939" w14:textId="77777777" w:rsidR="008F6731" w:rsidRDefault="008F6731" w:rsidP="00AB192C">
      <w:pPr>
        <w:pStyle w:val="BodyText"/>
        <w:ind w:left="475"/>
        <w:rPr>
          <w:rFonts w:asciiTheme="minorHAnsi" w:hAnsiTheme="minorHAnsi" w:cstheme="minorHAnsi"/>
          <w:b w:val="0"/>
        </w:rPr>
      </w:pPr>
    </w:p>
    <w:p w14:paraId="370AE7B5" w14:textId="2B054319" w:rsidR="000A2B73" w:rsidRPr="00127523" w:rsidRDefault="00127523" w:rsidP="00AB192C">
      <w:pPr>
        <w:pStyle w:val="BodyText"/>
        <w:ind w:left="475"/>
        <w:rPr>
          <w:rFonts w:asciiTheme="minorHAnsi" w:hAnsiTheme="minorHAnsi" w:cstheme="minorHAnsi"/>
          <w:b w:val="0"/>
        </w:rPr>
      </w:pPr>
      <w:r w:rsidRPr="00127523">
        <w:rPr>
          <w:rFonts w:asciiTheme="minorHAnsi" w:hAnsiTheme="minorHAnsi" w:cs="Arial"/>
          <w:b w:val="0"/>
          <w:color w:val="1B1B1B"/>
          <w:shd w:val="clear" w:color="auto" w:fill="FFFFFF"/>
        </w:rPr>
        <w:t>Per policy memo SP 12-2019</w:t>
      </w:r>
      <w:r w:rsidR="00DF33B7">
        <w:rPr>
          <w:rFonts w:asciiTheme="minorHAnsi" w:hAnsiTheme="minorHAnsi" w:cs="Arial"/>
          <w:b w:val="0"/>
          <w:color w:val="1B1B1B"/>
          <w:shd w:val="clear" w:color="auto" w:fill="FFFFFF"/>
        </w:rPr>
        <w:t xml:space="preserve"> </w:t>
      </w:r>
      <w:r w:rsidRPr="00127523">
        <w:rPr>
          <w:rFonts w:asciiTheme="minorHAnsi" w:hAnsiTheme="minorHAnsi" w:cs="Arial"/>
          <w:b w:val="0"/>
          <w:color w:val="1B1B1B"/>
          <w:shd w:val="clear" w:color="auto" w:fill="FFFFFF"/>
        </w:rPr>
        <w:t>t</w:t>
      </w:r>
      <w:r w:rsidRPr="00127523">
        <w:rPr>
          <w:rFonts w:asciiTheme="minorHAnsi" w:hAnsiTheme="minorHAnsi" w:cstheme="minorHAnsi"/>
          <w:b w:val="0"/>
        </w:rPr>
        <w:t>he Alaska Department of Education &amp; Early Development, Child Nutrition Programs (DEED CNP)</w:t>
      </w:r>
      <w:r w:rsidRPr="00127523">
        <w:rPr>
          <w:rFonts w:asciiTheme="minorHAnsi" w:hAnsiTheme="minorHAnsi" w:cs="Arial"/>
          <w:b w:val="0"/>
          <w:color w:val="1B1B1B"/>
          <w:shd w:val="clear" w:color="auto" w:fill="FFFFFF"/>
        </w:rPr>
        <w:t xml:space="preserve"> </w:t>
      </w:r>
      <w:r w:rsidR="00AB192C" w:rsidRPr="00127523">
        <w:rPr>
          <w:rFonts w:asciiTheme="minorHAnsi" w:hAnsiTheme="minorHAnsi" w:cstheme="minorHAnsi"/>
          <w:b w:val="0"/>
        </w:rPr>
        <w:t>S</w:t>
      </w:r>
      <w:r w:rsidR="00367972" w:rsidRPr="00127523">
        <w:rPr>
          <w:rFonts w:asciiTheme="minorHAnsi" w:hAnsiTheme="minorHAnsi" w:cstheme="minorHAnsi"/>
          <w:b w:val="0"/>
        </w:rPr>
        <w:t xml:space="preserve">tatewide waiver request to adjust state agency monitoring cycle from </w:t>
      </w:r>
      <w:r w:rsidR="00F63CCA" w:rsidRPr="00127523">
        <w:rPr>
          <w:rFonts w:asciiTheme="minorHAnsi" w:hAnsiTheme="minorHAnsi" w:cstheme="minorHAnsi"/>
          <w:b w:val="0"/>
        </w:rPr>
        <w:t xml:space="preserve">a </w:t>
      </w:r>
      <w:r w:rsidR="00D805C5" w:rsidRPr="00127523">
        <w:rPr>
          <w:rFonts w:asciiTheme="minorHAnsi" w:hAnsiTheme="minorHAnsi" w:cstheme="minorHAnsi"/>
          <w:b w:val="0"/>
        </w:rPr>
        <w:t>3-</w:t>
      </w:r>
      <w:r w:rsidR="00367972" w:rsidRPr="00127523">
        <w:rPr>
          <w:rFonts w:asciiTheme="minorHAnsi" w:hAnsiTheme="minorHAnsi" w:cstheme="minorHAnsi"/>
          <w:b w:val="0"/>
        </w:rPr>
        <w:t>year</w:t>
      </w:r>
      <w:r w:rsidR="00F63CCA" w:rsidRPr="00127523">
        <w:rPr>
          <w:rFonts w:asciiTheme="minorHAnsi" w:hAnsiTheme="minorHAnsi" w:cstheme="minorHAnsi"/>
          <w:b w:val="0"/>
        </w:rPr>
        <w:t xml:space="preserve"> Administrative Review (AR) cycle to a </w:t>
      </w:r>
      <w:r w:rsidR="00D805C5" w:rsidRPr="00127523">
        <w:rPr>
          <w:rFonts w:asciiTheme="minorHAnsi" w:hAnsiTheme="minorHAnsi" w:cstheme="minorHAnsi"/>
          <w:b w:val="0"/>
        </w:rPr>
        <w:t>5-</w:t>
      </w:r>
      <w:r w:rsidR="00367972" w:rsidRPr="00127523">
        <w:rPr>
          <w:rFonts w:asciiTheme="minorHAnsi" w:hAnsiTheme="minorHAnsi" w:cstheme="minorHAnsi"/>
          <w:b w:val="0"/>
        </w:rPr>
        <w:t>year</w:t>
      </w:r>
      <w:r w:rsidR="00F63CCA" w:rsidRPr="00127523">
        <w:rPr>
          <w:rFonts w:asciiTheme="minorHAnsi" w:hAnsiTheme="minorHAnsi" w:cstheme="minorHAnsi"/>
          <w:b w:val="0"/>
        </w:rPr>
        <w:t xml:space="preserve"> Administrative Review cycle</w:t>
      </w:r>
      <w:r w:rsidR="00367972" w:rsidRPr="00127523">
        <w:rPr>
          <w:rFonts w:asciiTheme="minorHAnsi" w:hAnsiTheme="minorHAnsi" w:cstheme="minorHAnsi"/>
          <w:b w:val="0"/>
        </w:rPr>
        <w:t xml:space="preserve"> for eligible</w:t>
      </w:r>
      <w:r w:rsidR="00D805C5" w:rsidRPr="00127523">
        <w:rPr>
          <w:rFonts w:asciiTheme="minorHAnsi" w:hAnsiTheme="minorHAnsi" w:cstheme="minorHAnsi"/>
          <w:b w:val="0"/>
        </w:rPr>
        <w:t xml:space="preserve"> school food authority (SFA) sponsors </w:t>
      </w:r>
      <w:r w:rsidR="00367972" w:rsidRPr="00127523">
        <w:rPr>
          <w:rFonts w:asciiTheme="minorHAnsi" w:hAnsiTheme="minorHAnsi" w:cstheme="minorHAnsi"/>
          <w:b w:val="0"/>
        </w:rPr>
        <w:t xml:space="preserve">in good standing. </w:t>
      </w:r>
    </w:p>
    <w:p w14:paraId="3867E917" w14:textId="77777777" w:rsidR="00AB192C" w:rsidRPr="008F6731" w:rsidRDefault="00AB192C" w:rsidP="00AB192C">
      <w:pPr>
        <w:pStyle w:val="BodyText"/>
        <w:ind w:left="475"/>
        <w:rPr>
          <w:rFonts w:asciiTheme="minorHAnsi" w:hAnsiTheme="minorHAnsi" w:cstheme="minorHAnsi"/>
          <w:b w:val="0"/>
        </w:rPr>
      </w:pPr>
    </w:p>
    <w:p w14:paraId="0565E523" w14:textId="77777777" w:rsidR="000A2B73" w:rsidRPr="008F6731" w:rsidRDefault="0080127F" w:rsidP="008F6731">
      <w:pPr>
        <w:pStyle w:val="ListParagraph"/>
        <w:numPr>
          <w:ilvl w:val="0"/>
          <w:numId w:val="3"/>
        </w:numPr>
        <w:tabs>
          <w:tab w:val="left" w:pos="476"/>
        </w:tabs>
        <w:ind w:right="772" w:hanging="475"/>
        <w:jc w:val="left"/>
        <w:rPr>
          <w:rFonts w:asciiTheme="minorHAnsi" w:hAnsiTheme="minorHAnsi" w:cstheme="minorHAnsi"/>
          <w:b/>
          <w:sz w:val="24"/>
          <w:szCs w:val="24"/>
        </w:rPr>
      </w:pPr>
      <w:r w:rsidRPr="008F6731">
        <w:rPr>
          <w:rFonts w:asciiTheme="minorHAnsi" w:hAnsiTheme="minorHAnsi" w:cstheme="minorHAnsi"/>
          <w:b/>
          <w:sz w:val="24"/>
          <w:szCs w:val="24"/>
        </w:rPr>
        <w:t>Description of the challenge the State agency is seeking to solve, the goal of the waiver to improve services under the Program, and the expected outcomes if the waiver is granted. [Section 12(l)(2)(A)(iii) and 12(l)(2)(A)(iv) of the</w:t>
      </w:r>
      <w:r w:rsidRPr="008F6731">
        <w:rPr>
          <w:rFonts w:asciiTheme="minorHAnsi" w:hAnsiTheme="minorHAnsi" w:cstheme="minorHAnsi"/>
          <w:b/>
          <w:spacing w:val="-3"/>
          <w:sz w:val="24"/>
          <w:szCs w:val="24"/>
        </w:rPr>
        <w:t xml:space="preserve"> </w:t>
      </w:r>
      <w:r w:rsidRPr="008F6731">
        <w:rPr>
          <w:rFonts w:asciiTheme="minorHAnsi" w:hAnsiTheme="minorHAnsi" w:cstheme="minorHAnsi"/>
          <w:b/>
          <w:sz w:val="24"/>
          <w:szCs w:val="24"/>
        </w:rPr>
        <w:t>NSLA]:</w:t>
      </w:r>
    </w:p>
    <w:p w14:paraId="01727D69" w14:textId="77777777" w:rsidR="004C58A4" w:rsidRDefault="004C58A4" w:rsidP="00AB192C">
      <w:pPr>
        <w:tabs>
          <w:tab w:val="left" w:pos="476"/>
        </w:tabs>
        <w:ind w:left="475" w:right="772"/>
        <w:rPr>
          <w:rFonts w:asciiTheme="minorHAnsi" w:hAnsiTheme="minorHAnsi" w:cstheme="minorHAnsi"/>
          <w:sz w:val="24"/>
          <w:szCs w:val="24"/>
        </w:rPr>
      </w:pPr>
    </w:p>
    <w:p w14:paraId="2F85318D" w14:textId="152E56AD" w:rsidR="009E7392" w:rsidRPr="008F6731" w:rsidRDefault="00565AF6" w:rsidP="00B42293">
      <w:pPr>
        <w:tabs>
          <w:tab w:val="left" w:pos="476"/>
        </w:tabs>
        <w:ind w:left="475" w:right="772"/>
        <w:rPr>
          <w:rFonts w:asciiTheme="minorHAnsi" w:hAnsiTheme="minorHAnsi" w:cstheme="minorHAnsi"/>
          <w:sz w:val="24"/>
          <w:szCs w:val="24"/>
        </w:rPr>
      </w:pPr>
      <w:r>
        <w:rPr>
          <w:rFonts w:asciiTheme="minorHAnsi" w:hAnsiTheme="minorHAnsi" w:cstheme="minorHAnsi"/>
          <w:sz w:val="24"/>
          <w:szCs w:val="24"/>
        </w:rPr>
        <w:t xml:space="preserve">DEED </w:t>
      </w:r>
      <w:r w:rsidR="00AB192C" w:rsidRPr="008F6731">
        <w:rPr>
          <w:rFonts w:asciiTheme="minorHAnsi" w:hAnsiTheme="minorHAnsi" w:cstheme="minorHAnsi"/>
          <w:sz w:val="24"/>
          <w:szCs w:val="24"/>
        </w:rPr>
        <w:t>CNP is requesting a statewide waiver for the</w:t>
      </w:r>
      <w:r w:rsidR="004C58A4">
        <w:rPr>
          <w:rFonts w:asciiTheme="minorHAnsi" w:hAnsiTheme="minorHAnsi" w:cstheme="minorHAnsi"/>
          <w:sz w:val="24"/>
          <w:szCs w:val="24"/>
        </w:rPr>
        <w:t xml:space="preserve"> 3-year </w:t>
      </w:r>
      <w:r w:rsidR="00F63CCA">
        <w:rPr>
          <w:rFonts w:asciiTheme="minorHAnsi" w:hAnsiTheme="minorHAnsi" w:cstheme="minorHAnsi"/>
          <w:sz w:val="24"/>
          <w:szCs w:val="24"/>
        </w:rPr>
        <w:t>A</w:t>
      </w:r>
      <w:r w:rsidR="00D805C5">
        <w:rPr>
          <w:rFonts w:asciiTheme="minorHAnsi" w:hAnsiTheme="minorHAnsi" w:cstheme="minorHAnsi"/>
          <w:sz w:val="24"/>
          <w:szCs w:val="24"/>
        </w:rPr>
        <w:t xml:space="preserve">R </w:t>
      </w:r>
      <w:r w:rsidR="004C58A4">
        <w:rPr>
          <w:rFonts w:asciiTheme="minorHAnsi" w:hAnsiTheme="minorHAnsi" w:cstheme="minorHAnsi"/>
          <w:sz w:val="24"/>
          <w:szCs w:val="24"/>
        </w:rPr>
        <w:t>cycle, adjuste</w:t>
      </w:r>
      <w:r w:rsidR="003204F4">
        <w:rPr>
          <w:rFonts w:asciiTheme="minorHAnsi" w:hAnsiTheme="minorHAnsi" w:cstheme="minorHAnsi"/>
          <w:sz w:val="24"/>
          <w:szCs w:val="24"/>
        </w:rPr>
        <w:t>d to a 5-year review cycle with 1-year follow-u</w:t>
      </w:r>
      <w:r w:rsidR="00F63CCA">
        <w:rPr>
          <w:rFonts w:asciiTheme="minorHAnsi" w:hAnsiTheme="minorHAnsi" w:cstheme="minorHAnsi"/>
          <w:sz w:val="24"/>
          <w:szCs w:val="24"/>
        </w:rPr>
        <w:t xml:space="preserve">p monitoring as </w:t>
      </w:r>
      <w:r w:rsidR="00925D9A">
        <w:rPr>
          <w:rFonts w:asciiTheme="minorHAnsi" w:hAnsiTheme="minorHAnsi" w:cstheme="minorHAnsi"/>
          <w:sz w:val="24"/>
          <w:szCs w:val="24"/>
        </w:rPr>
        <w:t xml:space="preserve">identified as a need </w:t>
      </w:r>
      <w:r w:rsidR="00F63CCA">
        <w:rPr>
          <w:rFonts w:asciiTheme="minorHAnsi" w:hAnsiTheme="minorHAnsi" w:cstheme="minorHAnsi"/>
          <w:sz w:val="24"/>
          <w:szCs w:val="24"/>
        </w:rPr>
        <w:t xml:space="preserve">through </w:t>
      </w:r>
      <w:r w:rsidR="00D805C5">
        <w:rPr>
          <w:rFonts w:asciiTheme="minorHAnsi" w:hAnsiTheme="minorHAnsi" w:cstheme="minorHAnsi"/>
          <w:sz w:val="24"/>
          <w:szCs w:val="24"/>
        </w:rPr>
        <w:t>AR compliance and</w:t>
      </w:r>
      <w:r w:rsidR="00925D9A">
        <w:rPr>
          <w:rFonts w:asciiTheme="minorHAnsi" w:hAnsiTheme="minorHAnsi" w:cstheme="minorHAnsi"/>
          <w:sz w:val="24"/>
          <w:szCs w:val="24"/>
        </w:rPr>
        <w:t xml:space="preserve"> annual</w:t>
      </w:r>
      <w:r w:rsidR="00D805C5">
        <w:rPr>
          <w:rFonts w:asciiTheme="minorHAnsi" w:hAnsiTheme="minorHAnsi" w:cstheme="minorHAnsi"/>
          <w:sz w:val="24"/>
          <w:szCs w:val="24"/>
        </w:rPr>
        <w:t xml:space="preserve"> </w:t>
      </w:r>
      <w:r w:rsidR="003204F4">
        <w:rPr>
          <w:rFonts w:asciiTheme="minorHAnsi" w:hAnsiTheme="minorHAnsi" w:cstheme="minorHAnsi"/>
          <w:sz w:val="24"/>
          <w:szCs w:val="24"/>
        </w:rPr>
        <w:t>risk assessment</w:t>
      </w:r>
      <w:r w:rsidR="00D805C5">
        <w:rPr>
          <w:rFonts w:asciiTheme="minorHAnsi" w:hAnsiTheme="minorHAnsi" w:cstheme="minorHAnsi"/>
          <w:sz w:val="24"/>
          <w:szCs w:val="24"/>
        </w:rPr>
        <w:t xml:space="preserve"> </w:t>
      </w:r>
      <w:r w:rsidR="00925D9A">
        <w:rPr>
          <w:rFonts w:asciiTheme="minorHAnsi" w:hAnsiTheme="minorHAnsi" w:cstheme="minorHAnsi"/>
          <w:sz w:val="24"/>
          <w:szCs w:val="24"/>
        </w:rPr>
        <w:t xml:space="preserve">conducted as </w:t>
      </w:r>
      <w:r w:rsidR="00D805C5">
        <w:rPr>
          <w:rFonts w:asciiTheme="minorHAnsi" w:hAnsiTheme="minorHAnsi" w:cstheme="minorHAnsi"/>
          <w:sz w:val="24"/>
          <w:szCs w:val="24"/>
        </w:rPr>
        <w:t>required under the Uniform Grant Guidance</w:t>
      </w:r>
      <w:r w:rsidR="003204F4">
        <w:rPr>
          <w:rFonts w:asciiTheme="minorHAnsi" w:hAnsiTheme="minorHAnsi" w:cstheme="minorHAnsi"/>
          <w:sz w:val="24"/>
          <w:szCs w:val="24"/>
        </w:rPr>
        <w:t>.</w:t>
      </w:r>
    </w:p>
    <w:p w14:paraId="23CAB46F" w14:textId="77777777" w:rsidR="00AB192C" w:rsidRPr="008F6731" w:rsidRDefault="00AB192C" w:rsidP="00AB192C">
      <w:pPr>
        <w:tabs>
          <w:tab w:val="left" w:pos="476"/>
        </w:tabs>
        <w:ind w:left="475" w:right="772"/>
        <w:rPr>
          <w:rFonts w:asciiTheme="minorHAnsi" w:hAnsiTheme="minorHAnsi" w:cstheme="minorHAnsi"/>
          <w:sz w:val="24"/>
          <w:szCs w:val="24"/>
        </w:rPr>
      </w:pPr>
    </w:p>
    <w:p w14:paraId="3278C15E" w14:textId="77777777" w:rsidR="000A2B73" w:rsidRPr="008F6731" w:rsidRDefault="0080127F" w:rsidP="008F6731">
      <w:pPr>
        <w:pStyle w:val="ListParagraph"/>
        <w:numPr>
          <w:ilvl w:val="0"/>
          <w:numId w:val="3"/>
        </w:numPr>
        <w:tabs>
          <w:tab w:val="left" w:pos="476"/>
        </w:tabs>
        <w:ind w:right="959" w:hanging="475"/>
        <w:jc w:val="left"/>
        <w:rPr>
          <w:rFonts w:asciiTheme="minorHAnsi" w:hAnsiTheme="minorHAnsi" w:cstheme="minorHAnsi"/>
          <w:b/>
          <w:sz w:val="24"/>
          <w:szCs w:val="24"/>
        </w:rPr>
      </w:pPr>
      <w:r w:rsidRPr="008F6731">
        <w:rPr>
          <w:rFonts w:asciiTheme="minorHAnsi" w:hAnsiTheme="minorHAnsi" w:cstheme="minorHAnsi"/>
          <w:b/>
          <w:sz w:val="24"/>
          <w:szCs w:val="24"/>
        </w:rPr>
        <w:t>Specific Program requirements to be waived (include statutory and regulatory citations). [Section 12(l)(2)(A)(</w:t>
      </w:r>
      <w:proofErr w:type="spellStart"/>
      <w:r w:rsidRPr="008F6731">
        <w:rPr>
          <w:rFonts w:asciiTheme="minorHAnsi" w:hAnsiTheme="minorHAnsi" w:cstheme="minorHAnsi"/>
          <w:b/>
          <w:sz w:val="24"/>
          <w:szCs w:val="24"/>
        </w:rPr>
        <w:t>i</w:t>
      </w:r>
      <w:proofErr w:type="spellEnd"/>
      <w:r w:rsidRPr="008F6731">
        <w:rPr>
          <w:rFonts w:asciiTheme="minorHAnsi" w:hAnsiTheme="minorHAnsi" w:cstheme="minorHAnsi"/>
          <w:b/>
          <w:sz w:val="24"/>
          <w:szCs w:val="24"/>
        </w:rPr>
        <w:t>) of the</w:t>
      </w:r>
      <w:r w:rsidRPr="008F6731">
        <w:rPr>
          <w:rFonts w:asciiTheme="minorHAnsi" w:hAnsiTheme="minorHAnsi" w:cstheme="minorHAnsi"/>
          <w:b/>
          <w:spacing w:val="-3"/>
          <w:sz w:val="24"/>
          <w:szCs w:val="24"/>
        </w:rPr>
        <w:t xml:space="preserve"> </w:t>
      </w:r>
      <w:r w:rsidRPr="008F6731">
        <w:rPr>
          <w:rFonts w:asciiTheme="minorHAnsi" w:hAnsiTheme="minorHAnsi" w:cstheme="minorHAnsi"/>
          <w:b/>
          <w:sz w:val="24"/>
          <w:szCs w:val="24"/>
        </w:rPr>
        <w:t>NSLA]:</w:t>
      </w:r>
    </w:p>
    <w:p w14:paraId="5D9F1215" w14:textId="77777777" w:rsidR="007373D1" w:rsidRPr="008F6731" w:rsidRDefault="007373D1" w:rsidP="007373D1">
      <w:pPr>
        <w:tabs>
          <w:tab w:val="left" w:pos="476"/>
        </w:tabs>
        <w:ind w:right="959"/>
        <w:rPr>
          <w:rFonts w:asciiTheme="minorHAnsi" w:hAnsiTheme="minorHAnsi" w:cstheme="minorHAnsi"/>
          <w:b/>
          <w:sz w:val="24"/>
          <w:szCs w:val="24"/>
        </w:rPr>
      </w:pPr>
    </w:p>
    <w:p w14:paraId="5D3A7254" w14:textId="15896FC5" w:rsidR="00DE1400" w:rsidRPr="00EE4C08" w:rsidRDefault="003204F4" w:rsidP="00EE4C08">
      <w:pPr>
        <w:pStyle w:val="ListParagraph"/>
        <w:numPr>
          <w:ilvl w:val="0"/>
          <w:numId w:val="14"/>
        </w:numPr>
        <w:tabs>
          <w:tab w:val="left" w:pos="476"/>
        </w:tabs>
        <w:ind w:right="959"/>
        <w:rPr>
          <w:rFonts w:asciiTheme="minorHAnsi" w:hAnsiTheme="minorHAnsi" w:cstheme="minorHAnsi"/>
          <w:iCs/>
          <w:sz w:val="24"/>
          <w:szCs w:val="24"/>
        </w:rPr>
      </w:pPr>
      <w:r w:rsidRPr="00C34B56">
        <w:rPr>
          <w:rFonts w:asciiTheme="minorHAnsi" w:hAnsiTheme="minorHAnsi" w:cstheme="minorHAnsi"/>
          <w:b/>
          <w:iCs/>
          <w:sz w:val="24"/>
          <w:szCs w:val="24"/>
        </w:rPr>
        <w:t>7 CFR 210.18(c</w:t>
      </w:r>
      <w:r w:rsidRPr="00EE4C08">
        <w:rPr>
          <w:rFonts w:asciiTheme="minorHAnsi" w:hAnsiTheme="minorHAnsi" w:cstheme="minorHAnsi"/>
          <w:iCs/>
          <w:sz w:val="24"/>
          <w:szCs w:val="24"/>
        </w:rPr>
        <w:t xml:space="preserve">):  </w:t>
      </w:r>
      <w:r w:rsidR="00565AF6" w:rsidRPr="00EE4C08">
        <w:rPr>
          <w:rFonts w:asciiTheme="minorHAnsi" w:hAnsiTheme="minorHAnsi" w:cstheme="minorHAnsi"/>
          <w:sz w:val="24"/>
          <w:szCs w:val="24"/>
        </w:rPr>
        <w:t xml:space="preserve">DEED </w:t>
      </w:r>
      <w:r w:rsidR="007373D1" w:rsidRPr="00EE4C08">
        <w:rPr>
          <w:rFonts w:asciiTheme="minorHAnsi" w:hAnsiTheme="minorHAnsi" w:cstheme="minorHAnsi"/>
          <w:sz w:val="24"/>
          <w:szCs w:val="24"/>
        </w:rPr>
        <w:t xml:space="preserve">CNP is requesting a waiver </w:t>
      </w:r>
      <w:r w:rsidR="00F75F71" w:rsidRPr="00EE4C08">
        <w:rPr>
          <w:rFonts w:asciiTheme="minorHAnsi" w:hAnsiTheme="minorHAnsi" w:cstheme="minorHAnsi"/>
          <w:sz w:val="24"/>
          <w:szCs w:val="24"/>
        </w:rPr>
        <w:t xml:space="preserve">use discretion to </w:t>
      </w:r>
      <w:r w:rsidRPr="00EE4C08">
        <w:rPr>
          <w:rFonts w:asciiTheme="minorHAnsi" w:hAnsiTheme="minorHAnsi" w:cstheme="minorHAnsi"/>
          <w:iCs/>
          <w:sz w:val="24"/>
          <w:szCs w:val="24"/>
        </w:rPr>
        <w:t>modify the review cycle for SFAs from a 3-year cycle to a 5-year cycle.</w:t>
      </w:r>
    </w:p>
    <w:p w14:paraId="54918BE4" w14:textId="3DEF0048" w:rsidR="003204F4" w:rsidRPr="00EE4C08" w:rsidRDefault="003204F4" w:rsidP="00EE4C08">
      <w:pPr>
        <w:pStyle w:val="ListParagraph"/>
        <w:numPr>
          <w:ilvl w:val="0"/>
          <w:numId w:val="14"/>
        </w:numPr>
        <w:tabs>
          <w:tab w:val="left" w:pos="476"/>
        </w:tabs>
        <w:ind w:right="959"/>
        <w:rPr>
          <w:rFonts w:asciiTheme="minorHAnsi" w:hAnsiTheme="minorHAnsi" w:cstheme="minorHAnsi"/>
          <w:iCs/>
          <w:sz w:val="24"/>
          <w:szCs w:val="24"/>
        </w:rPr>
      </w:pPr>
      <w:r w:rsidRPr="00C34B56">
        <w:rPr>
          <w:rFonts w:asciiTheme="minorHAnsi" w:hAnsiTheme="minorHAnsi" w:cstheme="minorHAnsi"/>
          <w:b/>
          <w:iCs/>
          <w:sz w:val="24"/>
          <w:szCs w:val="24"/>
        </w:rPr>
        <w:t>7 CFR 210.18(2</w:t>
      </w:r>
      <w:r w:rsidRPr="00EE4C08">
        <w:rPr>
          <w:rFonts w:asciiTheme="minorHAnsi" w:hAnsiTheme="minorHAnsi" w:cstheme="minorHAnsi"/>
          <w:iCs/>
          <w:sz w:val="24"/>
          <w:szCs w:val="24"/>
        </w:rPr>
        <w:t>):  DEED CNP is requesting to incorporate Risk Assessments based on 2 CFR 200</w:t>
      </w:r>
      <w:r w:rsidR="00D805C5">
        <w:rPr>
          <w:rFonts w:asciiTheme="minorHAnsi" w:hAnsiTheme="minorHAnsi" w:cstheme="minorHAnsi"/>
          <w:iCs/>
          <w:sz w:val="24"/>
          <w:szCs w:val="24"/>
        </w:rPr>
        <w:t>.331(b)</w:t>
      </w:r>
      <w:r w:rsidRPr="00EE4C08">
        <w:rPr>
          <w:rFonts w:asciiTheme="minorHAnsi" w:hAnsiTheme="minorHAnsi" w:cstheme="minorHAnsi"/>
          <w:iCs/>
          <w:sz w:val="24"/>
          <w:szCs w:val="24"/>
        </w:rPr>
        <w:t xml:space="preserve"> in addition to </w:t>
      </w:r>
      <w:r w:rsidR="00D805C5">
        <w:rPr>
          <w:rFonts w:asciiTheme="minorHAnsi" w:hAnsiTheme="minorHAnsi" w:cstheme="minorHAnsi"/>
          <w:iCs/>
          <w:sz w:val="24"/>
          <w:szCs w:val="24"/>
        </w:rPr>
        <w:t xml:space="preserve">compliance with </w:t>
      </w:r>
      <w:r w:rsidRPr="00EE4C08">
        <w:rPr>
          <w:rFonts w:asciiTheme="minorHAnsi" w:hAnsiTheme="minorHAnsi" w:cstheme="minorHAnsi"/>
          <w:iCs/>
          <w:sz w:val="24"/>
          <w:szCs w:val="24"/>
        </w:rPr>
        <w:t xml:space="preserve">Administrative Reviews to warrant follow-up </w:t>
      </w:r>
      <w:r w:rsidR="00EE4C08" w:rsidRPr="00EE4C08">
        <w:rPr>
          <w:rFonts w:asciiTheme="minorHAnsi" w:hAnsiTheme="minorHAnsi" w:cstheme="minorHAnsi"/>
          <w:iCs/>
          <w:sz w:val="24"/>
          <w:szCs w:val="24"/>
        </w:rPr>
        <w:t>reviews</w:t>
      </w:r>
      <w:r w:rsidRPr="00EE4C08">
        <w:rPr>
          <w:rFonts w:asciiTheme="minorHAnsi" w:hAnsiTheme="minorHAnsi" w:cstheme="minorHAnsi"/>
          <w:iCs/>
          <w:sz w:val="24"/>
          <w:szCs w:val="24"/>
        </w:rPr>
        <w:t>.</w:t>
      </w:r>
    </w:p>
    <w:p w14:paraId="6A2A5327" w14:textId="77777777" w:rsidR="00F62C3A" w:rsidRDefault="00F62C3A" w:rsidP="00DE1400">
      <w:pPr>
        <w:tabs>
          <w:tab w:val="left" w:pos="476"/>
        </w:tabs>
        <w:ind w:left="475" w:right="959"/>
        <w:rPr>
          <w:rFonts w:asciiTheme="minorHAnsi" w:hAnsiTheme="minorHAnsi" w:cstheme="minorHAnsi"/>
          <w:iCs/>
          <w:sz w:val="24"/>
          <w:szCs w:val="24"/>
        </w:rPr>
      </w:pPr>
    </w:p>
    <w:p w14:paraId="0D75B71C" w14:textId="77777777" w:rsidR="00565AF6" w:rsidRPr="008F6731" w:rsidRDefault="00565AF6" w:rsidP="00DE1400">
      <w:pPr>
        <w:tabs>
          <w:tab w:val="left" w:pos="476"/>
        </w:tabs>
        <w:ind w:left="475" w:right="959"/>
        <w:rPr>
          <w:rFonts w:asciiTheme="minorHAnsi" w:hAnsiTheme="minorHAnsi" w:cstheme="minorHAnsi"/>
          <w:sz w:val="24"/>
          <w:szCs w:val="24"/>
        </w:rPr>
      </w:pPr>
    </w:p>
    <w:p w14:paraId="2640E958" w14:textId="77777777" w:rsidR="000A2B73" w:rsidRPr="008F6731" w:rsidRDefault="0080127F" w:rsidP="008F6731">
      <w:pPr>
        <w:pStyle w:val="ListParagraph"/>
        <w:numPr>
          <w:ilvl w:val="0"/>
          <w:numId w:val="3"/>
        </w:numPr>
        <w:tabs>
          <w:tab w:val="left" w:pos="476"/>
        </w:tabs>
        <w:ind w:right="570" w:hanging="475"/>
        <w:jc w:val="left"/>
        <w:rPr>
          <w:rFonts w:asciiTheme="minorHAnsi" w:hAnsiTheme="minorHAnsi" w:cstheme="minorHAnsi"/>
          <w:b/>
          <w:sz w:val="24"/>
          <w:szCs w:val="24"/>
        </w:rPr>
      </w:pPr>
      <w:r w:rsidRPr="008F6731">
        <w:rPr>
          <w:rFonts w:asciiTheme="minorHAnsi" w:hAnsiTheme="minorHAnsi" w:cstheme="minorHAnsi"/>
          <w:b/>
          <w:sz w:val="24"/>
          <w:szCs w:val="24"/>
        </w:rPr>
        <w:t>Detailed description of alternative procedures and anticipated impact on Program operations, including technology, State systems, and</w:t>
      </w:r>
      <w:r w:rsidRPr="008F6731">
        <w:rPr>
          <w:rFonts w:asciiTheme="minorHAnsi" w:hAnsiTheme="minorHAnsi" w:cstheme="minorHAnsi"/>
          <w:b/>
          <w:spacing w:val="-4"/>
          <w:sz w:val="24"/>
          <w:szCs w:val="24"/>
        </w:rPr>
        <w:t xml:space="preserve"> </w:t>
      </w:r>
      <w:r w:rsidRPr="008F6731">
        <w:rPr>
          <w:rFonts w:asciiTheme="minorHAnsi" w:hAnsiTheme="minorHAnsi" w:cstheme="minorHAnsi"/>
          <w:b/>
          <w:sz w:val="24"/>
          <w:szCs w:val="24"/>
        </w:rPr>
        <w:t>monitoring:</w:t>
      </w:r>
    </w:p>
    <w:p w14:paraId="23448CDE" w14:textId="77777777" w:rsidR="00936179" w:rsidRPr="008F6731" w:rsidRDefault="00936179" w:rsidP="00936179">
      <w:pPr>
        <w:tabs>
          <w:tab w:val="left" w:pos="476"/>
        </w:tabs>
        <w:ind w:right="570"/>
        <w:rPr>
          <w:rFonts w:asciiTheme="minorHAnsi" w:hAnsiTheme="minorHAnsi" w:cstheme="minorHAnsi"/>
          <w:b/>
          <w:color w:val="1F497D" w:themeColor="text2"/>
          <w:sz w:val="24"/>
          <w:szCs w:val="24"/>
        </w:rPr>
      </w:pPr>
    </w:p>
    <w:p w14:paraId="17DCE775" w14:textId="6940EAC3" w:rsidR="00936179" w:rsidRPr="00D805C5" w:rsidRDefault="00C34B56" w:rsidP="00F75F71">
      <w:pPr>
        <w:tabs>
          <w:tab w:val="left" w:pos="476"/>
        </w:tabs>
        <w:ind w:left="475" w:right="570"/>
        <w:rPr>
          <w:rFonts w:asciiTheme="minorHAnsi" w:hAnsiTheme="minorHAnsi" w:cstheme="minorHAnsi"/>
          <w:sz w:val="24"/>
          <w:szCs w:val="24"/>
        </w:rPr>
      </w:pPr>
      <w:r>
        <w:rPr>
          <w:rFonts w:asciiTheme="minorHAnsi" w:hAnsiTheme="minorHAnsi" w:cstheme="minorHAnsi"/>
          <w:sz w:val="24"/>
          <w:szCs w:val="24"/>
        </w:rPr>
        <w:t xml:space="preserve">Currently DEED CNP monitors all program sponsors under a 3-year </w:t>
      </w:r>
      <w:r w:rsidR="00925D9A">
        <w:rPr>
          <w:rFonts w:asciiTheme="minorHAnsi" w:hAnsiTheme="minorHAnsi" w:cstheme="minorHAnsi"/>
          <w:sz w:val="24"/>
          <w:szCs w:val="24"/>
        </w:rPr>
        <w:t xml:space="preserve">cycle with a follow-up review as needs are identified through the AR and/or Uniform Grant Guidance Risk Assessment.  </w:t>
      </w:r>
      <w:r>
        <w:rPr>
          <w:rFonts w:asciiTheme="minorHAnsi" w:hAnsiTheme="minorHAnsi" w:cstheme="minorHAnsi"/>
          <w:sz w:val="24"/>
          <w:szCs w:val="24"/>
        </w:rPr>
        <w:t xml:space="preserve"> </w:t>
      </w:r>
      <w:r w:rsidR="00D805C5">
        <w:rPr>
          <w:rFonts w:asciiTheme="minorHAnsi" w:hAnsiTheme="minorHAnsi" w:cstheme="minorHAnsi"/>
          <w:sz w:val="24"/>
          <w:szCs w:val="24"/>
        </w:rPr>
        <w:t xml:space="preserve">USDA approval of this waiver will allow the State Agency to follow a 5-year AR cycle for </w:t>
      </w:r>
      <w:r>
        <w:rPr>
          <w:rFonts w:asciiTheme="minorHAnsi" w:hAnsiTheme="minorHAnsi" w:cstheme="minorHAnsi"/>
          <w:sz w:val="24"/>
          <w:szCs w:val="24"/>
        </w:rPr>
        <w:t>School Food Authoritie</w:t>
      </w:r>
      <w:r w:rsidR="00007742">
        <w:rPr>
          <w:rFonts w:asciiTheme="minorHAnsi" w:hAnsiTheme="minorHAnsi" w:cstheme="minorHAnsi"/>
          <w:sz w:val="24"/>
          <w:szCs w:val="24"/>
        </w:rPr>
        <w:t>s participating in NSLP and SBP.</w:t>
      </w:r>
      <w:r w:rsidR="009F1E70">
        <w:rPr>
          <w:rFonts w:asciiTheme="minorHAnsi" w:hAnsiTheme="minorHAnsi" w:cstheme="minorHAnsi"/>
          <w:sz w:val="24"/>
          <w:szCs w:val="24"/>
        </w:rPr>
        <w:t xml:space="preserve">  Follow-up and/or targeted ARs may occur based on the annual Risk Assessment.</w:t>
      </w:r>
    </w:p>
    <w:p w14:paraId="10A83FEF" w14:textId="77777777" w:rsidR="00936179" w:rsidRPr="008F6731" w:rsidRDefault="00936179" w:rsidP="00936179">
      <w:pPr>
        <w:pStyle w:val="BodyText"/>
        <w:rPr>
          <w:rFonts w:asciiTheme="minorHAnsi" w:hAnsiTheme="minorHAnsi" w:cstheme="minorHAnsi"/>
        </w:rPr>
      </w:pPr>
    </w:p>
    <w:p w14:paraId="21A971CB" w14:textId="77777777" w:rsidR="000A2B73" w:rsidRPr="008F6731" w:rsidRDefault="0080127F" w:rsidP="005C27BA">
      <w:pPr>
        <w:pStyle w:val="ListParagraph"/>
        <w:numPr>
          <w:ilvl w:val="0"/>
          <w:numId w:val="3"/>
        </w:numPr>
        <w:tabs>
          <w:tab w:val="left" w:pos="641"/>
        </w:tabs>
        <w:spacing w:line="237" w:lineRule="auto"/>
        <w:ind w:left="360" w:right="580"/>
        <w:jc w:val="left"/>
        <w:rPr>
          <w:rFonts w:asciiTheme="minorHAnsi" w:hAnsiTheme="minorHAnsi" w:cstheme="minorHAnsi"/>
          <w:b/>
          <w:sz w:val="24"/>
          <w:szCs w:val="24"/>
        </w:rPr>
      </w:pPr>
      <w:r w:rsidRPr="008F6731">
        <w:rPr>
          <w:rFonts w:asciiTheme="minorHAnsi" w:hAnsiTheme="minorHAnsi" w:cstheme="minorHAnsi"/>
          <w:b/>
          <w:sz w:val="24"/>
          <w:szCs w:val="24"/>
        </w:rPr>
        <w:t>Description of any steps the State has taken to address regulatory barriers at the State level. [Section 12(l)(2)(A)(ii) of the</w:t>
      </w:r>
      <w:r w:rsidRPr="008F6731">
        <w:rPr>
          <w:rFonts w:asciiTheme="minorHAnsi" w:hAnsiTheme="minorHAnsi" w:cstheme="minorHAnsi"/>
          <w:b/>
          <w:spacing w:val="-4"/>
          <w:sz w:val="24"/>
          <w:szCs w:val="24"/>
        </w:rPr>
        <w:t xml:space="preserve"> </w:t>
      </w:r>
      <w:r w:rsidRPr="008F6731">
        <w:rPr>
          <w:rFonts w:asciiTheme="minorHAnsi" w:hAnsiTheme="minorHAnsi" w:cstheme="minorHAnsi"/>
          <w:b/>
          <w:sz w:val="24"/>
          <w:szCs w:val="24"/>
        </w:rPr>
        <w:t>NSLA]:</w:t>
      </w:r>
    </w:p>
    <w:p w14:paraId="7C7F3489" w14:textId="77777777" w:rsidR="00936179" w:rsidRPr="008F6731" w:rsidRDefault="00936179" w:rsidP="005C27BA">
      <w:pPr>
        <w:tabs>
          <w:tab w:val="left" w:pos="641"/>
        </w:tabs>
        <w:spacing w:line="237" w:lineRule="auto"/>
        <w:ind w:right="580"/>
        <w:rPr>
          <w:rFonts w:asciiTheme="minorHAnsi" w:hAnsiTheme="minorHAnsi" w:cstheme="minorHAnsi"/>
          <w:b/>
          <w:sz w:val="24"/>
          <w:szCs w:val="24"/>
        </w:rPr>
      </w:pPr>
    </w:p>
    <w:p w14:paraId="370F6A06" w14:textId="160ED6FA" w:rsidR="000A2B73" w:rsidRPr="008F6731" w:rsidRDefault="00EE4C08" w:rsidP="00DE1400">
      <w:pPr>
        <w:tabs>
          <w:tab w:val="left" w:pos="630"/>
        </w:tabs>
        <w:ind w:left="350" w:right="570"/>
        <w:rPr>
          <w:rFonts w:asciiTheme="minorHAnsi" w:hAnsiTheme="minorHAnsi" w:cstheme="minorHAnsi"/>
          <w:sz w:val="24"/>
          <w:szCs w:val="24"/>
        </w:rPr>
      </w:pPr>
      <w:r>
        <w:rPr>
          <w:rFonts w:asciiTheme="minorHAnsi" w:hAnsiTheme="minorHAnsi" w:cstheme="minorHAnsi"/>
          <w:sz w:val="24"/>
          <w:szCs w:val="24"/>
        </w:rPr>
        <w:t>Currently DEED CNP is conducting all program monitoring on a maximum 3-year schedule; incorporating</w:t>
      </w:r>
      <w:r w:rsidR="00C34B56">
        <w:rPr>
          <w:rFonts w:asciiTheme="minorHAnsi" w:hAnsiTheme="minorHAnsi" w:cstheme="minorHAnsi"/>
          <w:sz w:val="24"/>
          <w:szCs w:val="24"/>
        </w:rPr>
        <w:t xml:space="preserve"> UGG Risk Assessment annually on all program sponsors by each CFDA. </w:t>
      </w:r>
    </w:p>
    <w:p w14:paraId="65634490" w14:textId="77777777" w:rsidR="004F0C2C" w:rsidRPr="008F6731" w:rsidRDefault="004F0C2C" w:rsidP="005C27BA">
      <w:pPr>
        <w:pStyle w:val="BodyText"/>
        <w:spacing w:before="10"/>
        <w:rPr>
          <w:rFonts w:asciiTheme="minorHAnsi" w:hAnsiTheme="minorHAnsi" w:cstheme="minorHAnsi"/>
        </w:rPr>
      </w:pPr>
    </w:p>
    <w:p w14:paraId="2C4A4718" w14:textId="77777777" w:rsidR="000A2B73" w:rsidRPr="008F6731" w:rsidRDefault="0080127F" w:rsidP="005C27BA">
      <w:pPr>
        <w:pStyle w:val="ListParagraph"/>
        <w:numPr>
          <w:ilvl w:val="0"/>
          <w:numId w:val="3"/>
        </w:numPr>
        <w:tabs>
          <w:tab w:val="left" w:pos="641"/>
        </w:tabs>
        <w:ind w:left="360" w:right="1168"/>
        <w:jc w:val="left"/>
        <w:rPr>
          <w:rFonts w:asciiTheme="minorHAnsi" w:hAnsiTheme="minorHAnsi" w:cstheme="minorHAnsi"/>
          <w:b/>
          <w:sz w:val="24"/>
          <w:szCs w:val="24"/>
        </w:rPr>
      </w:pPr>
      <w:r w:rsidRPr="008F6731">
        <w:rPr>
          <w:rFonts w:asciiTheme="minorHAnsi" w:hAnsiTheme="minorHAnsi" w:cstheme="minorHAnsi"/>
          <w:b/>
          <w:sz w:val="24"/>
          <w:szCs w:val="24"/>
        </w:rPr>
        <w:t>Anticipated challenges State or eligible service providers may face with</w:t>
      </w:r>
      <w:r w:rsidRPr="008F6731">
        <w:rPr>
          <w:rFonts w:asciiTheme="minorHAnsi" w:hAnsiTheme="minorHAnsi" w:cstheme="minorHAnsi"/>
          <w:b/>
          <w:spacing w:val="-7"/>
          <w:sz w:val="24"/>
          <w:szCs w:val="24"/>
        </w:rPr>
        <w:t xml:space="preserve"> </w:t>
      </w:r>
      <w:r w:rsidRPr="008F6731">
        <w:rPr>
          <w:rFonts w:asciiTheme="minorHAnsi" w:hAnsiTheme="minorHAnsi" w:cstheme="minorHAnsi"/>
          <w:b/>
          <w:sz w:val="24"/>
          <w:szCs w:val="24"/>
        </w:rPr>
        <w:t>the waiver</w:t>
      </w:r>
      <w:r w:rsidRPr="008F6731">
        <w:rPr>
          <w:rFonts w:asciiTheme="minorHAnsi" w:hAnsiTheme="minorHAnsi" w:cstheme="minorHAnsi"/>
          <w:b/>
          <w:spacing w:val="-2"/>
          <w:sz w:val="24"/>
          <w:szCs w:val="24"/>
        </w:rPr>
        <w:t xml:space="preserve"> </w:t>
      </w:r>
      <w:r w:rsidRPr="008F6731">
        <w:rPr>
          <w:rFonts w:asciiTheme="minorHAnsi" w:hAnsiTheme="minorHAnsi" w:cstheme="minorHAnsi"/>
          <w:b/>
          <w:sz w:val="24"/>
          <w:szCs w:val="24"/>
        </w:rPr>
        <w:t>implementation:</w:t>
      </w:r>
    </w:p>
    <w:p w14:paraId="38962415" w14:textId="77777777" w:rsidR="00936179" w:rsidRPr="008F6731" w:rsidRDefault="00936179" w:rsidP="005C27BA">
      <w:pPr>
        <w:pStyle w:val="ListParagraph"/>
        <w:ind w:left="720"/>
        <w:rPr>
          <w:rFonts w:asciiTheme="minorHAnsi" w:hAnsiTheme="minorHAnsi" w:cstheme="minorHAnsi"/>
          <w:b/>
          <w:sz w:val="24"/>
          <w:szCs w:val="24"/>
        </w:rPr>
      </w:pPr>
    </w:p>
    <w:p w14:paraId="5985EFEE" w14:textId="5229E226" w:rsidR="00690900" w:rsidRDefault="00565AF6" w:rsidP="00D805C5">
      <w:pPr>
        <w:pStyle w:val="ListParagraph"/>
        <w:ind w:left="360" w:firstLine="0"/>
        <w:rPr>
          <w:rFonts w:asciiTheme="minorHAnsi" w:hAnsiTheme="minorHAnsi" w:cstheme="minorHAnsi"/>
          <w:sz w:val="24"/>
          <w:szCs w:val="24"/>
        </w:rPr>
      </w:pPr>
      <w:r>
        <w:rPr>
          <w:rFonts w:asciiTheme="minorHAnsi" w:hAnsiTheme="minorHAnsi" w:cstheme="minorHAnsi"/>
          <w:sz w:val="24"/>
          <w:szCs w:val="24"/>
        </w:rPr>
        <w:t xml:space="preserve">DEED </w:t>
      </w:r>
      <w:r w:rsidR="00690900" w:rsidRPr="008F6731">
        <w:rPr>
          <w:rFonts w:asciiTheme="minorHAnsi" w:hAnsiTheme="minorHAnsi" w:cstheme="minorHAnsi"/>
          <w:sz w:val="24"/>
          <w:szCs w:val="24"/>
        </w:rPr>
        <w:t>CNP does not anticipate these waivers will present any challenges to the SA or</w:t>
      </w:r>
      <w:r w:rsidR="00C34B56">
        <w:rPr>
          <w:rFonts w:asciiTheme="minorHAnsi" w:hAnsiTheme="minorHAnsi" w:cstheme="minorHAnsi"/>
          <w:sz w:val="24"/>
          <w:szCs w:val="24"/>
        </w:rPr>
        <w:t xml:space="preserve"> SFAs</w:t>
      </w:r>
      <w:r w:rsidR="00D805C5">
        <w:rPr>
          <w:rFonts w:asciiTheme="minorHAnsi" w:hAnsiTheme="minorHAnsi" w:cstheme="minorHAnsi"/>
          <w:sz w:val="24"/>
          <w:szCs w:val="24"/>
        </w:rPr>
        <w:t xml:space="preserve">.  </w:t>
      </w:r>
      <w:r w:rsidR="00690900" w:rsidRPr="008F6731">
        <w:rPr>
          <w:rFonts w:asciiTheme="minorHAnsi" w:hAnsiTheme="minorHAnsi" w:cstheme="minorHAnsi"/>
          <w:sz w:val="24"/>
          <w:szCs w:val="24"/>
        </w:rPr>
        <w:t xml:space="preserve">The challenges </w:t>
      </w:r>
      <w:r>
        <w:rPr>
          <w:rFonts w:asciiTheme="minorHAnsi" w:hAnsiTheme="minorHAnsi" w:cstheme="minorHAnsi"/>
          <w:sz w:val="24"/>
          <w:szCs w:val="24"/>
        </w:rPr>
        <w:t xml:space="preserve">DEED </w:t>
      </w:r>
      <w:r w:rsidR="00690900" w:rsidRPr="008F6731">
        <w:rPr>
          <w:rFonts w:asciiTheme="minorHAnsi" w:hAnsiTheme="minorHAnsi" w:cstheme="minorHAnsi"/>
          <w:sz w:val="24"/>
          <w:szCs w:val="24"/>
        </w:rPr>
        <w:t xml:space="preserve">CNP and </w:t>
      </w:r>
      <w:r w:rsidR="00D805C5">
        <w:rPr>
          <w:rFonts w:asciiTheme="minorHAnsi" w:hAnsiTheme="minorHAnsi" w:cstheme="minorHAnsi"/>
          <w:sz w:val="24"/>
          <w:szCs w:val="24"/>
        </w:rPr>
        <w:t xml:space="preserve">SFAs </w:t>
      </w:r>
      <w:r w:rsidR="00690900" w:rsidRPr="008F6731">
        <w:rPr>
          <w:rFonts w:asciiTheme="minorHAnsi" w:hAnsiTheme="minorHAnsi" w:cstheme="minorHAnsi"/>
          <w:sz w:val="24"/>
          <w:szCs w:val="24"/>
        </w:rPr>
        <w:t xml:space="preserve">may face if the waiver is </w:t>
      </w:r>
      <w:r w:rsidR="00690900" w:rsidRPr="008F6731">
        <w:rPr>
          <w:rFonts w:asciiTheme="minorHAnsi" w:hAnsiTheme="minorHAnsi" w:cstheme="minorHAnsi"/>
          <w:i/>
          <w:sz w:val="24"/>
          <w:szCs w:val="24"/>
          <w:u w:val="single"/>
        </w:rPr>
        <w:t>not</w:t>
      </w:r>
      <w:r w:rsidR="00690900" w:rsidRPr="008F6731">
        <w:rPr>
          <w:rFonts w:asciiTheme="minorHAnsi" w:hAnsiTheme="minorHAnsi" w:cstheme="minorHAnsi"/>
          <w:sz w:val="24"/>
          <w:szCs w:val="24"/>
        </w:rPr>
        <w:t xml:space="preserve"> approved include:</w:t>
      </w:r>
    </w:p>
    <w:p w14:paraId="025263F8" w14:textId="77777777" w:rsidR="008F6731" w:rsidRPr="008F6731" w:rsidRDefault="008F6731" w:rsidP="005C27BA">
      <w:pPr>
        <w:pStyle w:val="ListParagraph"/>
        <w:ind w:left="350" w:firstLine="10"/>
        <w:rPr>
          <w:rFonts w:asciiTheme="minorHAnsi" w:hAnsiTheme="minorHAnsi" w:cstheme="minorHAnsi"/>
          <w:sz w:val="24"/>
          <w:szCs w:val="24"/>
        </w:rPr>
      </w:pPr>
    </w:p>
    <w:p w14:paraId="4734E66C" w14:textId="500FA134" w:rsidR="00367972" w:rsidRDefault="00367972" w:rsidP="005C27BA">
      <w:pPr>
        <w:pStyle w:val="ListParagraph"/>
        <w:numPr>
          <w:ilvl w:val="0"/>
          <w:numId w:val="12"/>
        </w:numPr>
        <w:ind w:left="1080"/>
        <w:rPr>
          <w:rFonts w:asciiTheme="minorHAnsi" w:hAnsiTheme="minorHAnsi" w:cstheme="minorHAnsi"/>
          <w:sz w:val="24"/>
          <w:szCs w:val="24"/>
        </w:rPr>
      </w:pPr>
      <w:r>
        <w:rPr>
          <w:rFonts w:asciiTheme="minorHAnsi" w:hAnsiTheme="minorHAnsi" w:cstheme="minorHAnsi"/>
          <w:sz w:val="24"/>
          <w:szCs w:val="24"/>
        </w:rPr>
        <w:t>Continued administrative burden for program sponsors</w:t>
      </w:r>
      <w:r w:rsidR="00F63CCA">
        <w:rPr>
          <w:rFonts w:asciiTheme="minorHAnsi" w:hAnsiTheme="minorHAnsi" w:cstheme="minorHAnsi"/>
          <w:sz w:val="24"/>
          <w:szCs w:val="24"/>
        </w:rPr>
        <w:t>.</w:t>
      </w:r>
      <w:r>
        <w:rPr>
          <w:rFonts w:asciiTheme="minorHAnsi" w:hAnsiTheme="minorHAnsi" w:cstheme="minorHAnsi"/>
          <w:sz w:val="24"/>
          <w:szCs w:val="24"/>
        </w:rPr>
        <w:t xml:space="preserve"> </w:t>
      </w:r>
    </w:p>
    <w:p w14:paraId="12C121D0" w14:textId="63A5FE47" w:rsidR="00C34B56" w:rsidRDefault="00367972" w:rsidP="00C34B56">
      <w:pPr>
        <w:pStyle w:val="ListParagraph"/>
        <w:numPr>
          <w:ilvl w:val="0"/>
          <w:numId w:val="12"/>
        </w:numPr>
        <w:ind w:left="1080"/>
        <w:rPr>
          <w:rFonts w:asciiTheme="minorHAnsi" w:hAnsiTheme="minorHAnsi" w:cstheme="minorHAnsi"/>
          <w:sz w:val="24"/>
          <w:szCs w:val="24"/>
        </w:rPr>
      </w:pPr>
      <w:r>
        <w:rPr>
          <w:rFonts w:asciiTheme="minorHAnsi" w:hAnsiTheme="minorHAnsi" w:cstheme="minorHAnsi"/>
          <w:sz w:val="24"/>
          <w:szCs w:val="24"/>
        </w:rPr>
        <w:t>Continued elevated administrative costs incurred by the state agency to conduct</w:t>
      </w:r>
      <w:r w:rsidR="00007742">
        <w:rPr>
          <w:rFonts w:asciiTheme="minorHAnsi" w:hAnsiTheme="minorHAnsi" w:cstheme="minorHAnsi"/>
          <w:sz w:val="24"/>
          <w:szCs w:val="24"/>
        </w:rPr>
        <w:t xml:space="preserve"> monitoring at a 3-year cycle due to the remote locations of most of Alaska SFAs and the high cost of travel to remote locations.</w:t>
      </w:r>
    </w:p>
    <w:p w14:paraId="292495AD" w14:textId="77777777" w:rsidR="009F1E70" w:rsidRDefault="00367972" w:rsidP="009F1E70">
      <w:pPr>
        <w:pStyle w:val="ListParagraph"/>
        <w:numPr>
          <w:ilvl w:val="0"/>
          <w:numId w:val="12"/>
        </w:numPr>
        <w:ind w:left="1080"/>
        <w:rPr>
          <w:rFonts w:asciiTheme="minorHAnsi" w:hAnsiTheme="minorHAnsi" w:cstheme="minorHAnsi"/>
          <w:sz w:val="24"/>
          <w:szCs w:val="24"/>
        </w:rPr>
      </w:pPr>
      <w:r w:rsidRPr="00C34B56">
        <w:rPr>
          <w:rFonts w:asciiTheme="minorHAnsi" w:hAnsiTheme="minorHAnsi" w:cstheme="minorHAnsi"/>
          <w:sz w:val="24"/>
          <w:szCs w:val="24"/>
        </w:rPr>
        <w:t xml:space="preserve">Lack of time and resources to conduct on-site technical assistance to develop skills at the local level. </w:t>
      </w:r>
    </w:p>
    <w:p w14:paraId="35CD519D" w14:textId="77777777" w:rsidR="009F1E70" w:rsidRDefault="009F1E70" w:rsidP="009F1E70">
      <w:pPr>
        <w:rPr>
          <w:rFonts w:asciiTheme="minorHAnsi" w:hAnsiTheme="minorHAnsi" w:cstheme="minorHAnsi"/>
          <w:b/>
          <w:sz w:val="24"/>
          <w:szCs w:val="24"/>
        </w:rPr>
      </w:pPr>
    </w:p>
    <w:p w14:paraId="5DA3F1E6" w14:textId="34A4EAB8" w:rsidR="000A2B73" w:rsidRPr="009F1E70" w:rsidRDefault="0080127F" w:rsidP="009F1E70">
      <w:pPr>
        <w:pStyle w:val="ListParagraph"/>
        <w:numPr>
          <w:ilvl w:val="0"/>
          <w:numId w:val="12"/>
        </w:numPr>
        <w:ind w:left="360"/>
        <w:rPr>
          <w:rFonts w:asciiTheme="minorHAnsi" w:hAnsiTheme="minorHAnsi" w:cstheme="minorHAnsi"/>
          <w:sz w:val="24"/>
          <w:szCs w:val="24"/>
        </w:rPr>
      </w:pPr>
      <w:r w:rsidRPr="009F1E70">
        <w:rPr>
          <w:rFonts w:asciiTheme="minorHAnsi" w:hAnsiTheme="minorHAnsi" w:cstheme="minorHAnsi"/>
          <w:b/>
          <w:sz w:val="24"/>
          <w:szCs w:val="24"/>
        </w:rPr>
        <w:t>Description of how the waiver will not increase the overall cost of the Program to the Federal Government. If there are anticipated increases, confirm that the costs will be paid from non-Federal funds. [Section 12(l)(1)(A)(iii) of the</w:t>
      </w:r>
      <w:r w:rsidRPr="009F1E70">
        <w:rPr>
          <w:rFonts w:asciiTheme="minorHAnsi" w:hAnsiTheme="minorHAnsi" w:cstheme="minorHAnsi"/>
          <w:b/>
          <w:spacing w:val="-6"/>
          <w:sz w:val="24"/>
          <w:szCs w:val="24"/>
        </w:rPr>
        <w:t xml:space="preserve"> </w:t>
      </w:r>
      <w:r w:rsidRPr="009F1E70">
        <w:rPr>
          <w:rFonts w:asciiTheme="minorHAnsi" w:hAnsiTheme="minorHAnsi" w:cstheme="minorHAnsi"/>
          <w:b/>
          <w:sz w:val="24"/>
          <w:szCs w:val="24"/>
        </w:rPr>
        <w:t>NSLA]:</w:t>
      </w:r>
    </w:p>
    <w:p w14:paraId="7583E429" w14:textId="77777777" w:rsidR="00936179" w:rsidRPr="008F6731" w:rsidRDefault="00936179" w:rsidP="00936179">
      <w:pPr>
        <w:tabs>
          <w:tab w:val="left" w:pos="641"/>
        </w:tabs>
        <w:ind w:right="538"/>
        <w:rPr>
          <w:rFonts w:asciiTheme="minorHAnsi" w:hAnsiTheme="minorHAnsi" w:cstheme="minorHAnsi"/>
          <w:b/>
          <w:sz w:val="24"/>
          <w:szCs w:val="24"/>
        </w:rPr>
      </w:pPr>
    </w:p>
    <w:p w14:paraId="5FD4F067" w14:textId="4AE0C9B8" w:rsidR="00936179" w:rsidRPr="008F6731" w:rsidRDefault="00565AF6" w:rsidP="008F6731">
      <w:pPr>
        <w:ind w:left="360" w:right="538"/>
        <w:rPr>
          <w:rFonts w:asciiTheme="minorHAnsi" w:hAnsiTheme="minorHAnsi" w:cstheme="minorHAnsi"/>
          <w:sz w:val="24"/>
          <w:szCs w:val="24"/>
        </w:rPr>
      </w:pPr>
      <w:r>
        <w:rPr>
          <w:rFonts w:asciiTheme="minorHAnsi" w:hAnsiTheme="minorHAnsi" w:cstheme="minorHAnsi"/>
          <w:sz w:val="24"/>
          <w:szCs w:val="24"/>
        </w:rPr>
        <w:t xml:space="preserve">DEED </w:t>
      </w:r>
      <w:r w:rsidR="00936E6D" w:rsidRPr="008F6731">
        <w:rPr>
          <w:rFonts w:asciiTheme="minorHAnsi" w:hAnsiTheme="minorHAnsi" w:cstheme="minorHAnsi"/>
          <w:sz w:val="24"/>
          <w:szCs w:val="24"/>
        </w:rPr>
        <w:t xml:space="preserve">CNP does not anticipate </w:t>
      </w:r>
      <w:r w:rsidR="00F63CCA">
        <w:rPr>
          <w:rFonts w:asciiTheme="minorHAnsi" w:hAnsiTheme="minorHAnsi" w:cstheme="minorHAnsi"/>
          <w:sz w:val="24"/>
          <w:szCs w:val="24"/>
        </w:rPr>
        <w:t xml:space="preserve">that </w:t>
      </w:r>
      <w:r w:rsidR="00936E6D" w:rsidRPr="008F6731">
        <w:rPr>
          <w:rFonts w:asciiTheme="minorHAnsi" w:hAnsiTheme="minorHAnsi" w:cstheme="minorHAnsi"/>
          <w:sz w:val="24"/>
          <w:szCs w:val="24"/>
        </w:rPr>
        <w:t>this waiver will increase the overall cost of the program to the Federal go</w:t>
      </w:r>
      <w:r w:rsidR="00685B34" w:rsidRPr="008F6731">
        <w:rPr>
          <w:rFonts w:asciiTheme="minorHAnsi" w:hAnsiTheme="minorHAnsi" w:cstheme="minorHAnsi"/>
          <w:sz w:val="24"/>
          <w:szCs w:val="24"/>
        </w:rPr>
        <w:t xml:space="preserve">vernment.  </w:t>
      </w:r>
      <w:r w:rsidR="00936E6D" w:rsidRPr="008F6731">
        <w:rPr>
          <w:rFonts w:asciiTheme="minorHAnsi" w:hAnsiTheme="minorHAnsi" w:cstheme="minorHAnsi"/>
          <w:sz w:val="24"/>
          <w:szCs w:val="24"/>
        </w:rPr>
        <w:t xml:space="preserve">The waiver will continue to assist </w:t>
      </w:r>
      <w:r w:rsidR="00033FDE">
        <w:rPr>
          <w:rFonts w:asciiTheme="minorHAnsi" w:hAnsiTheme="minorHAnsi" w:cstheme="minorHAnsi"/>
          <w:sz w:val="24"/>
          <w:szCs w:val="24"/>
        </w:rPr>
        <w:t xml:space="preserve">program </w:t>
      </w:r>
      <w:r w:rsidR="00936E6D" w:rsidRPr="008F6731">
        <w:rPr>
          <w:rFonts w:asciiTheme="minorHAnsi" w:hAnsiTheme="minorHAnsi" w:cstheme="minorHAnsi"/>
          <w:sz w:val="24"/>
          <w:szCs w:val="24"/>
        </w:rPr>
        <w:t xml:space="preserve">sponsors and </w:t>
      </w:r>
      <w:r w:rsidR="001E2061">
        <w:rPr>
          <w:rFonts w:asciiTheme="minorHAnsi" w:hAnsiTheme="minorHAnsi" w:cstheme="minorHAnsi"/>
          <w:sz w:val="24"/>
          <w:szCs w:val="24"/>
        </w:rPr>
        <w:t xml:space="preserve">DEED </w:t>
      </w:r>
      <w:r w:rsidR="00936E6D" w:rsidRPr="008F6731">
        <w:rPr>
          <w:rFonts w:asciiTheme="minorHAnsi" w:hAnsiTheme="minorHAnsi" w:cstheme="minorHAnsi"/>
          <w:sz w:val="24"/>
          <w:szCs w:val="24"/>
        </w:rPr>
        <w:t xml:space="preserve">CNP to streamline </w:t>
      </w:r>
      <w:r w:rsidR="00033FDE">
        <w:rPr>
          <w:rFonts w:asciiTheme="minorHAnsi" w:hAnsiTheme="minorHAnsi" w:cstheme="minorHAnsi"/>
          <w:sz w:val="24"/>
          <w:szCs w:val="24"/>
        </w:rPr>
        <w:t xml:space="preserve">oversight </w:t>
      </w:r>
      <w:r w:rsidR="00936E6D" w:rsidRPr="008F6731">
        <w:rPr>
          <w:rFonts w:asciiTheme="minorHAnsi" w:hAnsiTheme="minorHAnsi" w:cstheme="minorHAnsi"/>
          <w:sz w:val="24"/>
          <w:szCs w:val="24"/>
        </w:rPr>
        <w:t>and control costs.</w:t>
      </w:r>
    </w:p>
    <w:p w14:paraId="071794D6" w14:textId="77777777" w:rsidR="00936179" w:rsidRPr="008F6731" w:rsidRDefault="00936179" w:rsidP="00936179">
      <w:pPr>
        <w:tabs>
          <w:tab w:val="left" w:pos="641"/>
        </w:tabs>
        <w:ind w:right="538"/>
        <w:rPr>
          <w:rFonts w:asciiTheme="minorHAnsi" w:hAnsiTheme="minorHAnsi" w:cstheme="minorHAnsi"/>
          <w:b/>
          <w:sz w:val="24"/>
          <w:szCs w:val="24"/>
        </w:rPr>
      </w:pPr>
    </w:p>
    <w:p w14:paraId="033EB376" w14:textId="77777777" w:rsidR="000A2B73" w:rsidRPr="008F6731" w:rsidRDefault="0080127F" w:rsidP="008F6731">
      <w:pPr>
        <w:pStyle w:val="ListParagraph"/>
        <w:numPr>
          <w:ilvl w:val="0"/>
          <w:numId w:val="3"/>
        </w:numPr>
        <w:ind w:left="360"/>
        <w:jc w:val="left"/>
        <w:rPr>
          <w:rFonts w:asciiTheme="minorHAnsi" w:hAnsiTheme="minorHAnsi" w:cstheme="minorHAnsi"/>
          <w:b/>
          <w:sz w:val="24"/>
          <w:szCs w:val="24"/>
        </w:rPr>
      </w:pPr>
      <w:r w:rsidRPr="008F6731">
        <w:rPr>
          <w:rFonts w:asciiTheme="minorHAnsi" w:hAnsiTheme="minorHAnsi" w:cstheme="minorHAnsi"/>
          <w:b/>
          <w:sz w:val="24"/>
          <w:szCs w:val="24"/>
        </w:rPr>
        <w:t>Anticipated waiver implementation date and time</w:t>
      </w:r>
      <w:r w:rsidRPr="008F6731">
        <w:rPr>
          <w:rFonts w:asciiTheme="minorHAnsi" w:hAnsiTheme="minorHAnsi" w:cstheme="minorHAnsi"/>
          <w:b/>
          <w:spacing w:val="-5"/>
          <w:sz w:val="24"/>
          <w:szCs w:val="24"/>
        </w:rPr>
        <w:t xml:space="preserve"> </w:t>
      </w:r>
      <w:r w:rsidRPr="008F6731">
        <w:rPr>
          <w:rFonts w:asciiTheme="minorHAnsi" w:hAnsiTheme="minorHAnsi" w:cstheme="minorHAnsi"/>
          <w:b/>
          <w:sz w:val="24"/>
          <w:szCs w:val="24"/>
        </w:rPr>
        <w:t>period:</w:t>
      </w:r>
    </w:p>
    <w:p w14:paraId="17777483" w14:textId="77777777" w:rsidR="00936179" w:rsidRPr="008F6731" w:rsidRDefault="00936179" w:rsidP="00936179">
      <w:pPr>
        <w:tabs>
          <w:tab w:val="left" w:pos="641"/>
        </w:tabs>
        <w:rPr>
          <w:rFonts w:asciiTheme="minorHAnsi" w:hAnsiTheme="minorHAnsi" w:cstheme="minorHAnsi"/>
          <w:b/>
          <w:sz w:val="24"/>
          <w:szCs w:val="24"/>
        </w:rPr>
      </w:pPr>
    </w:p>
    <w:p w14:paraId="5CBD735F" w14:textId="36A2C87E" w:rsidR="000A2B73" w:rsidRPr="008F6731" w:rsidRDefault="00936E6D" w:rsidP="008F6731">
      <w:pPr>
        <w:pStyle w:val="BodyText"/>
        <w:spacing w:before="7"/>
        <w:ind w:left="360"/>
        <w:rPr>
          <w:rFonts w:asciiTheme="minorHAnsi" w:hAnsiTheme="minorHAnsi" w:cstheme="minorHAnsi"/>
          <w:b w:val="0"/>
        </w:rPr>
      </w:pPr>
      <w:r w:rsidRPr="008F6731">
        <w:rPr>
          <w:rFonts w:asciiTheme="minorHAnsi" w:hAnsiTheme="minorHAnsi" w:cstheme="minorHAnsi"/>
          <w:b w:val="0"/>
        </w:rPr>
        <w:t>To be effective with the start of FY 20</w:t>
      </w:r>
      <w:r w:rsidR="00033FDE">
        <w:rPr>
          <w:rFonts w:asciiTheme="minorHAnsi" w:hAnsiTheme="minorHAnsi" w:cstheme="minorHAnsi"/>
          <w:b w:val="0"/>
        </w:rPr>
        <w:t>20</w:t>
      </w:r>
      <w:r w:rsidRPr="008F6731">
        <w:rPr>
          <w:rFonts w:asciiTheme="minorHAnsi" w:hAnsiTheme="minorHAnsi" w:cstheme="minorHAnsi"/>
          <w:b w:val="0"/>
        </w:rPr>
        <w:t xml:space="preserve"> and approved for a period of </w:t>
      </w:r>
      <w:r w:rsidR="00033FDE">
        <w:rPr>
          <w:rFonts w:asciiTheme="minorHAnsi" w:hAnsiTheme="minorHAnsi" w:cstheme="minorHAnsi"/>
          <w:b w:val="0"/>
        </w:rPr>
        <w:t xml:space="preserve">five </w:t>
      </w:r>
      <w:r w:rsidRPr="008F6731">
        <w:rPr>
          <w:rFonts w:asciiTheme="minorHAnsi" w:hAnsiTheme="minorHAnsi" w:cstheme="minorHAnsi"/>
          <w:b w:val="0"/>
        </w:rPr>
        <w:t>years.</w:t>
      </w:r>
      <w:r w:rsidR="00C34B56">
        <w:rPr>
          <w:rFonts w:asciiTheme="minorHAnsi" w:hAnsiTheme="minorHAnsi" w:cstheme="minorHAnsi"/>
          <w:b w:val="0"/>
        </w:rPr>
        <w:t xml:space="preserve"> </w:t>
      </w:r>
    </w:p>
    <w:p w14:paraId="6AFFF3AD" w14:textId="77777777" w:rsidR="00936179" w:rsidRPr="008F6731" w:rsidRDefault="00936179" w:rsidP="008F6731">
      <w:pPr>
        <w:pStyle w:val="BodyText"/>
        <w:spacing w:before="7"/>
        <w:ind w:left="360"/>
        <w:rPr>
          <w:rFonts w:asciiTheme="minorHAnsi" w:hAnsiTheme="minorHAnsi" w:cstheme="minorHAnsi"/>
        </w:rPr>
      </w:pPr>
    </w:p>
    <w:p w14:paraId="783430D3" w14:textId="77777777" w:rsidR="000A2B73" w:rsidRPr="008F6731" w:rsidRDefault="0080127F" w:rsidP="008F6731">
      <w:pPr>
        <w:pStyle w:val="ListParagraph"/>
        <w:numPr>
          <w:ilvl w:val="0"/>
          <w:numId w:val="3"/>
        </w:numPr>
        <w:tabs>
          <w:tab w:val="left" w:pos="641"/>
        </w:tabs>
        <w:ind w:left="360"/>
        <w:jc w:val="left"/>
        <w:rPr>
          <w:rFonts w:asciiTheme="minorHAnsi" w:hAnsiTheme="minorHAnsi" w:cstheme="minorHAnsi"/>
          <w:b/>
          <w:sz w:val="24"/>
          <w:szCs w:val="24"/>
        </w:rPr>
      </w:pPr>
      <w:r w:rsidRPr="008F6731">
        <w:rPr>
          <w:rFonts w:asciiTheme="minorHAnsi" w:hAnsiTheme="minorHAnsi" w:cstheme="minorHAnsi"/>
          <w:b/>
          <w:sz w:val="24"/>
          <w:szCs w:val="24"/>
        </w:rPr>
        <w:t>Proposed monitoring and review procedures:</w:t>
      </w:r>
    </w:p>
    <w:p w14:paraId="05420DF6" w14:textId="77777777" w:rsidR="00936179" w:rsidRPr="008F6731" w:rsidRDefault="00936179" w:rsidP="008F6731">
      <w:pPr>
        <w:tabs>
          <w:tab w:val="left" w:pos="641"/>
        </w:tabs>
        <w:ind w:left="360"/>
        <w:rPr>
          <w:rFonts w:asciiTheme="minorHAnsi" w:hAnsiTheme="minorHAnsi" w:cstheme="minorHAnsi"/>
          <w:b/>
          <w:sz w:val="24"/>
          <w:szCs w:val="24"/>
        </w:rPr>
      </w:pPr>
    </w:p>
    <w:p w14:paraId="521E3ADB" w14:textId="5FEEDC35" w:rsidR="00936179" w:rsidRDefault="00565AF6" w:rsidP="008F6731">
      <w:pPr>
        <w:tabs>
          <w:tab w:val="left" w:pos="641"/>
        </w:tabs>
        <w:ind w:left="360"/>
        <w:rPr>
          <w:rFonts w:asciiTheme="minorHAnsi" w:hAnsiTheme="minorHAnsi" w:cstheme="minorHAnsi"/>
          <w:sz w:val="24"/>
          <w:szCs w:val="24"/>
        </w:rPr>
      </w:pPr>
      <w:r>
        <w:rPr>
          <w:rFonts w:asciiTheme="minorHAnsi" w:hAnsiTheme="minorHAnsi" w:cstheme="minorHAnsi"/>
          <w:sz w:val="24"/>
          <w:szCs w:val="24"/>
        </w:rPr>
        <w:t xml:space="preserve">DEED </w:t>
      </w:r>
      <w:r w:rsidR="00936E6D" w:rsidRPr="008F6731">
        <w:rPr>
          <w:rFonts w:asciiTheme="minorHAnsi" w:hAnsiTheme="minorHAnsi" w:cstheme="minorHAnsi"/>
          <w:sz w:val="24"/>
          <w:szCs w:val="24"/>
        </w:rPr>
        <w:t xml:space="preserve">CNP will </w:t>
      </w:r>
      <w:r w:rsidR="00D805C5">
        <w:rPr>
          <w:rFonts w:asciiTheme="minorHAnsi" w:hAnsiTheme="minorHAnsi" w:cstheme="minorHAnsi"/>
          <w:sz w:val="24"/>
          <w:szCs w:val="24"/>
        </w:rPr>
        <w:t xml:space="preserve">follow the amended AR schedule.  </w:t>
      </w:r>
      <w:r w:rsidR="00936E6D" w:rsidRPr="008F6731">
        <w:rPr>
          <w:rFonts w:asciiTheme="minorHAnsi" w:hAnsiTheme="minorHAnsi" w:cstheme="minorHAnsi"/>
          <w:sz w:val="24"/>
          <w:szCs w:val="24"/>
        </w:rPr>
        <w:t>Sponsors found to have non-compliance issues as related to this waiver will work with the state agency on an individualized corrective action plan and will have follow-</w:t>
      </w:r>
      <w:r w:rsidR="009F1E70">
        <w:rPr>
          <w:rFonts w:asciiTheme="minorHAnsi" w:hAnsiTheme="minorHAnsi" w:cstheme="minorHAnsi"/>
          <w:sz w:val="24"/>
          <w:szCs w:val="24"/>
        </w:rPr>
        <w:t xml:space="preserve">up reviews scheduled as identified through the Risk Assessment process </w:t>
      </w:r>
      <w:r w:rsidR="009F1E70">
        <w:rPr>
          <w:rFonts w:asciiTheme="minorHAnsi" w:hAnsiTheme="minorHAnsi" w:cstheme="minorHAnsi"/>
          <w:sz w:val="24"/>
          <w:szCs w:val="24"/>
        </w:rPr>
        <w:lastRenderedPageBreak/>
        <w:t>required under 2 CFR 200.331(b)</w:t>
      </w:r>
      <w:r w:rsidR="00925D9A">
        <w:rPr>
          <w:rFonts w:asciiTheme="minorHAnsi" w:hAnsiTheme="minorHAnsi" w:cstheme="minorHAnsi"/>
          <w:sz w:val="24"/>
          <w:szCs w:val="24"/>
        </w:rPr>
        <w:t>.</w:t>
      </w:r>
    </w:p>
    <w:p w14:paraId="6982C8C6" w14:textId="77777777" w:rsidR="00925D9A" w:rsidRPr="008F6731" w:rsidRDefault="00925D9A" w:rsidP="008F6731">
      <w:pPr>
        <w:tabs>
          <w:tab w:val="left" w:pos="641"/>
        </w:tabs>
        <w:ind w:left="360"/>
        <w:rPr>
          <w:rFonts w:asciiTheme="minorHAnsi" w:hAnsiTheme="minorHAnsi" w:cstheme="minorHAnsi"/>
          <w:sz w:val="24"/>
          <w:szCs w:val="24"/>
        </w:rPr>
      </w:pPr>
    </w:p>
    <w:p w14:paraId="55464555" w14:textId="77777777" w:rsidR="000A2B73" w:rsidRPr="008F6731" w:rsidRDefault="0080127F" w:rsidP="008F6731">
      <w:pPr>
        <w:pStyle w:val="ListParagraph"/>
        <w:numPr>
          <w:ilvl w:val="0"/>
          <w:numId w:val="3"/>
        </w:numPr>
        <w:tabs>
          <w:tab w:val="left" w:pos="641"/>
        </w:tabs>
        <w:spacing w:before="1"/>
        <w:ind w:left="360"/>
        <w:jc w:val="left"/>
        <w:rPr>
          <w:rFonts w:asciiTheme="minorHAnsi" w:hAnsiTheme="minorHAnsi" w:cstheme="minorHAnsi"/>
          <w:b/>
          <w:sz w:val="24"/>
          <w:szCs w:val="24"/>
        </w:rPr>
      </w:pPr>
      <w:r w:rsidRPr="008F6731">
        <w:rPr>
          <w:rFonts w:asciiTheme="minorHAnsi" w:hAnsiTheme="minorHAnsi" w:cstheme="minorHAnsi"/>
          <w:b/>
          <w:sz w:val="24"/>
          <w:szCs w:val="24"/>
        </w:rPr>
        <w:t>Proposed reporting requirements (include type of data and due date(s) to</w:t>
      </w:r>
      <w:r w:rsidRPr="008F6731">
        <w:rPr>
          <w:rFonts w:asciiTheme="minorHAnsi" w:hAnsiTheme="minorHAnsi" w:cstheme="minorHAnsi"/>
          <w:b/>
          <w:spacing w:val="-16"/>
          <w:sz w:val="24"/>
          <w:szCs w:val="24"/>
        </w:rPr>
        <w:t xml:space="preserve"> </w:t>
      </w:r>
      <w:r w:rsidRPr="008F6731">
        <w:rPr>
          <w:rFonts w:asciiTheme="minorHAnsi" w:hAnsiTheme="minorHAnsi" w:cstheme="minorHAnsi"/>
          <w:b/>
          <w:sz w:val="24"/>
          <w:szCs w:val="24"/>
        </w:rPr>
        <w:t>FNS);</w:t>
      </w:r>
    </w:p>
    <w:p w14:paraId="03DEC458" w14:textId="77777777" w:rsidR="00936179" w:rsidRPr="008F6731" w:rsidRDefault="00936179" w:rsidP="008F6731">
      <w:pPr>
        <w:tabs>
          <w:tab w:val="left" w:pos="641"/>
        </w:tabs>
        <w:spacing w:before="1"/>
        <w:ind w:left="360"/>
        <w:rPr>
          <w:rFonts w:asciiTheme="minorHAnsi" w:hAnsiTheme="minorHAnsi" w:cstheme="minorHAnsi"/>
          <w:b/>
          <w:sz w:val="24"/>
          <w:szCs w:val="24"/>
        </w:rPr>
      </w:pPr>
    </w:p>
    <w:p w14:paraId="141F1E1E" w14:textId="2FF26FA8" w:rsidR="00936179" w:rsidRPr="008F6731" w:rsidRDefault="00565AF6" w:rsidP="008F6731">
      <w:pPr>
        <w:tabs>
          <w:tab w:val="left" w:pos="641"/>
        </w:tabs>
        <w:spacing w:before="1"/>
        <w:ind w:left="360"/>
        <w:rPr>
          <w:rFonts w:asciiTheme="minorHAnsi" w:hAnsiTheme="minorHAnsi" w:cstheme="minorHAnsi"/>
          <w:sz w:val="24"/>
          <w:szCs w:val="24"/>
        </w:rPr>
      </w:pPr>
      <w:r>
        <w:rPr>
          <w:rFonts w:asciiTheme="minorHAnsi" w:hAnsiTheme="minorHAnsi" w:cstheme="minorHAnsi"/>
          <w:sz w:val="24"/>
          <w:szCs w:val="24"/>
        </w:rPr>
        <w:t xml:space="preserve">DEED </w:t>
      </w:r>
      <w:r w:rsidR="00936E6D" w:rsidRPr="008F6731">
        <w:rPr>
          <w:rFonts w:asciiTheme="minorHAnsi" w:hAnsiTheme="minorHAnsi" w:cstheme="minorHAnsi"/>
          <w:sz w:val="24"/>
          <w:szCs w:val="24"/>
        </w:rPr>
        <w:t>CNP will report to FNS any compliance issues</w:t>
      </w:r>
      <w:r w:rsidR="00925D9A">
        <w:rPr>
          <w:rFonts w:asciiTheme="minorHAnsi" w:hAnsiTheme="minorHAnsi" w:cstheme="minorHAnsi"/>
          <w:sz w:val="24"/>
          <w:szCs w:val="24"/>
        </w:rPr>
        <w:t xml:space="preserve"> noted with this flexibility as requested.</w:t>
      </w:r>
      <w:r w:rsidR="00DB7529">
        <w:rPr>
          <w:rFonts w:asciiTheme="minorHAnsi" w:hAnsiTheme="minorHAnsi" w:cstheme="minorHAnsi"/>
          <w:sz w:val="24"/>
          <w:szCs w:val="24"/>
        </w:rPr>
        <w:t xml:space="preserve"> </w:t>
      </w:r>
    </w:p>
    <w:p w14:paraId="08D31694" w14:textId="77777777" w:rsidR="000A2B73" w:rsidRPr="008F6731" w:rsidRDefault="000A2B73" w:rsidP="008F6731">
      <w:pPr>
        <w:pStyle w:val="BodyText"/>
        <w:spacing w:before="6"/>
        <w:ind w:left="360"/>
        <w:rPr>
          <w:rFonts w:asciiTheme="minorHAnsi" w:hAnsiTheme="minorHAnsi" w:cstheme="minorHAnsi"/>
        </w:rPr>
      </w:pPr>
      <w:bookmarkStart w:id="0" w:name="_GoBack"/>
      <w:bookmarkEnd w:id="0"/>
    </w:p>
    <w:p w14:paraId="2515EFA7" w14:textId="77777777" w:rsidR="000A2B73" w:rsidRPr="008F6731" w:rsidRDefault="0080127F" w:rsidP="008F6731">
      <w:pPr>
        <w:pStyle w:val="ListParagraph"/>
        <w:numPr>
          <w:ilvl w:val="0"/>
          <w:numId w:val="3"/>
        </w:numPr>
        <w:tabs>
          <w:tab w:val="left" w:pos="641"/>
        </w:tabs>
        <w:spacing w:line="249" w:lineRule="auto"/>
        <w:ind w:left="360" w:right="1024"/>
        <w:jc w:val="left"/>
        <w:rPr>
          <w:rFonts w:asciiTheme="minorHAnsi" w:hAnsiTheme="minorHAnsi" w:cstheme="minorHAnsi"/>
          <w:b/>
          <w:sz w:val="24"/>
          <w:szCs w:val="24"/>
        </w:rPr>
      </w:pPr>
      <w:r w:rsidRPr="008F6731">
        <w:rPr>
          <w:rFonts w:asciiTheme="minorHAnsi" w:hAnsiTheme="minorHAnsi" w:cstheme="minorHAnsi"/>
          <w:b/>
          <w:sz w:val="24"/>
          <w:szCs w:val="24"/>
        </w:rPr>
        <w:t>Link to or copy of the public notice informing the public about the</w:t>
      </w:r>
      <w:r w:rsidRPr="008F6731">
        <w:rPr>
          <w:rFonts w:asciiTheme="minorHAnsi" w:hAnsiTheme="minorHAnsi" w:cstheme="minorHAnsi"/>
          <w:b/>
          <w:spacing w:val="-32"/>
          <w:sz w:val="24"/>
          <w:szCs w:val="24"/>
        </w:rPr>
        <w:t xml:space="preserve"> </w:t>
      </w:r>
      <w:r w:rsidRPr="008F6731">
        <w:rPr>
          <w:rFonts w:asciiTheme="minorHAnsi" w:hAnsiTheme="minorHAnsi" w:cstheme="minorHAnsi"/>
          <w:b/>
          <w:sz w:val="24"/>
          <w:szCs w:val="24"/>
        </w:rPr>
        <w:t>proposed waiver [Section 12(l)(1)(A)(ii) of the</w:t>
      </w:r>
      <w:r w:rsidRPr="008F6731">
        <w:rPr>
          <w:rFonts w:asciiTheme="minorHAnsi" w:hAnsiTheme="minorHAnsi" w:cstheme="minorHAnsi"/>
          <w:b/>
          <w:spacing w:val="-3"/>
          <w:sz w:val="24"/>
          <w:szCs w:val="24"/>
        </w:rPr>
        <w:t xml:space="preserve"> </w:t>
      </w:r>
      <w:r w:rsidRPr="008F6731">
        <w:rPr>
          <w:rFonts w:asciiTheme="minorHAnsi" w:hAnsiTheme="minorHAnsi" w:cstheme="minorHAnsi"/>
          <w:b/>
          <w:sz w:val="24"/>
          <w:szCs w:val="24"/>
        </w:rPr>
        <w:t>NSLA]:</w:t>
      </w:r>
    </w:p>
    <w:p w14:paraId="5597A2DF" w14:textId="2BD5AC8A" w:rsidR="000A2B73" w:rsidRDefault="000A2B73" w:rsidP="008F6731">
      <w:pPr>
        <w:pStyle w:val="BodyText"/>
        <w:spacing w:before="8"/>
        <w:ind w:left="360"/>
        <w:rPr>
          <w:rFonts w:asciiTheme="minorHAnsi" w:hAnsiTheme="minorHAnsi" w:cstheme="minorHAnsi"/>
        </w:rPr>
      </w:pPr>
    </w:p>
    <w:p w14:paraId="3F48F0B7" w14:textId="38D15633" w:rsidR="00C34B56" w:rsidRPr="00C34B56" w:rsidRDefault="00DB7529" w:rsidP="008F6731">
      <w:pPr>
        <w:pStyle w:val="BodyText"/>
        <w:spacing w:before="8"/>
        <w:ind w:left="360"/>
        <w:rPr>
          <w:rFonts w:asciiTheme="minorHAnsi" w:hAnsiTheme="minorHAnsi" w:cstheme="minorHAnsi"/>
          <w:b w:val="0"/>
        </w:rPr>
      </w:pPr>
      <w:hyperlink r:id="rId8" w:history="1">
        <w:r w:rsidR="00C34B56" w:rsidRPr="00C34B56">
          <w:rPr>
            <w:rStyle w:val="Hyperlink"/>
            <w:rFonts w:asciiTheme="minorHAnsi" w:hAnsiTheme="minorHAnsi" w:cstheme="minorHAnsi"/>
            <w:b w:val="0"/>
          </w:rPr>
          <w:t>Alaska Department of Education and Early Development, Child Nutrition Programs</w:t>
        </w:r>
      </w:hyperlink>
    </w:p>
    <w:p w14:paraId="6065A437" w14:textId="34CD9BC4" w:rsidR="00936179" w:rsidRPr="008F6731" w:rsidRDefault="00936179" w:rsidP="008F6731">
      <w:pPr>
        <w:pStyle w:val="BodyText"/>
        <w:spacing w:before="8"/>
        <w:ind w:left="360"/>
        <w:rPr>
          <w:rFonts w:asciiTheme="minorHAnsi" w:hAnsiTheme="minorHAnsi" w:cstheme="minorHAnsi"/>
        </w:rPr>
      </w:pPr>
    </w:p>
    <w:p w14:paraId="3E4E9720" w14:textId="110DA318" w:rsidR="000A2B73" w:rsidRDefault="0080127F" w:rsidP="00746B7C">
      <w:pPr>
        <w:pStyle w:val="ListParagraph"/>
        <w:numPr>
          <w:ilvl w:val="0"/>
          <w:numId w:val="3"/>
        </w:numPr>
        <w:tabs>
          <w:tab w:val="left" w:pos="641"/>
        </w:tabs>
        <w:ind w:left="360"/>
        <w:jc w:val="left"/>
        <w:rPr>
          <w:rFonts w:asciiTheme="minorHAnsi" w:hAnsiTheme="minorHAnsi" w:cstheme="minorHAnsi"/>
          <w:b/>
          <w:sz w:val="24"/>
          <w:szCs w:val="24"/>
        </w:rPr>
      </w:pPr>
      <w:r w:rsidRPr="008F6731">
        <w:rPr>
          <w:rFonts w:asciiTheme="minorHAnsi" w:hAnsiTheme="minorHAnsi" w:cstheme="minorHAnsi"/>
          <w:b/>
          <w:sz w:val="24"/>
          <w:szCs w:val="24"/>
        </w:rPr>
        <w:t>Signature and Title of requesting</w:t>
      </w:r>
      <w:r w:rsidRPr="008F6731">
        <w:rPr>
          <w:rFonts w:asciiTheme="minorHAnsi" w:hAnsiTheme="minorHAnsi" w:cstheme="minorHAnsi"/>
          <w:b/>
          <w:spacing w:val="-2"/>
          <w:sz w:val="24"/>
          <w:szCs w:val="24"/>
        </w:rPr>
        <w:t xml:space="preserve"> </w:t>
      </w:r>
      <w:r w:rsidRPr="008F6731">
        <w:rPr>
          <w:rFonts w:asciiTheme="minorHAnsi" w:hAnsiTheme="minorHAnsi" w:cstheme="minorHAnsi"/>
          <w:b/>
          <w:sz w:val="24"/>
          <w:szCs w:val="24"/>
        </w:rPr>
        <w:t>official:</w:t>
      </w:r>
    </w:p>
    <w:p w14:paraId="53368704" w14:textId="3ED2918E" w:rsidR="00B2356F" w:rsidRPr="00B2356F" w:rsidRDefault="00B2356F" w:rsidP="00B2356F">
      <w:pPr>
        <w:pStyle w:val="ListParagraph"/>
        <w:tabs>
          <w:tab w:val="left" w:pos="641"/>
        </w:tabs>
        <w:ind w:left="360" w:firstLine="0"/>
        <w:rPr>
          <w:rFonts w:asciiTheme="minorHAnsi" w:hAnsiTheme="minorHAnsi" w:cstheme="minorHAnsi"/>
          <w:b/>
          <w:sz w:val="24"/>
          <w:szCs w:val="24"/>
        </w:rPr>
      </w:pPr>
      <w:r>
        <w:rPr>
          <w:rFonts w:asciiTheme="minorHAnsi" w:hAnsiTheme="minorHAnsi" w:cstheme="minorHAnsi"/>
          <w:b/>
          <w:noProof/>
          <w:sz w:val="24"/>
          <w:szCs w:val="24"/>
          <w:lang w:bidi="ar-SA"/>
        </w:rPr>
        <w:drawing>
          <wp:inline distT="0" distB="0" distL="0" distR="0" wp14:anchorId="2F26D5EB" wp14:editId="4B12DAB7">
            <wp:extent cx="1512115" cy="518160"/>
            <wp:effectExtent l="0" t="0" r="0" b="0"/>
            <wp:docPr id="1" name="Picture 1" descr="Jo Dawson's signature" titl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9185" cy="524009"/>
                    </a:xfrm>
                    <a:prstGeom prst="rect">
                      <a:avLst/>
                    </a:prstGeom>
                  </pic:spPr>
                </pic:pic>
              </a:graphicData>
            </a:graphic>
          </wp:inline>
        </w:drawing>
      </w:r>
    </w:p>
    <w:p w14:paraId="68088DA6" w14:textId="34EC8F6E" w:rsidR="00936179" w:rsidRPr="008F6731" w:rsidRDefault="00936E6D">
      <w:pPr>
        <w:pStyle w:val="BodyText"/>
        <w:ind w:left="127"/>
        <w:rPr>
          <w:rFonts w:asciiTheme="minorHAnsi" w:hAnsiTheme="minorHAnsi" w:cstheme="minorHAnsi"/>
          <w:b w:val="0"/>
        </w:rPr>
      </w:pPr>
      <w:r w:rsidRPr="008F6731">
        <w:rPr>
          <w:rFonts w:asciiTheme="minorHAnsi" w:hAnsiTheme="minorHAnsi" w:cstheme="minorHAnsi"/>
          <w:b w:val="0"/>
        </w:rPr>
        <w:t xml:space="preserve">  </w:t>
      </w:r>
      <w:bookmarkStart w:id="1" w:name="_Hlk613469"/>
      <w:r w:rsidRPr="008F6731">
        <w:rPr>
          <w:rFonts w:asciiTheme="minorHAnsi" w:hAnsiTheme="minorHAnsi" w:cstheme="minorHAnsi"/>
          <w:b w:val="0"/>
        </w:rPr>
        <w:t>Name:</w:t>
      </w:r>
      <w:r w:rsidR="00565AF6">
        <w:rPr>
          <w:rFonts w:asciiTheme="minorHAnsi" w:hAnsiTheme="minorHAnsi" w:cstheme="minorHAnsi"/>
          <w:b w:val="0"/>
        </w:rPr>
        <w:t xml:space="preserve"> </w:t>
      </w:r>
      <w:hyperlink r:id="rId10" w:history="1">
        <w:r w:rsidR="00565AF6" w:rsidRPr="00B42293">
          <w:rPr>
            <w:rStyle w:val="Hyperlink"/>
            <w:rFonts w:asciiTheme="minorHAnsi" w:hAnsiTheme="minorHAnsi" w:cstheme="minorHAnsi"/>
            <w:b w:val="0"/>
          </w:rPr>
          <w:t>Jo Dawson</w:t>
        </w:r>
      </w:hyperlink>
    </w:p>
    <w:p w14:paraId="0771AFB0" w14:textId="2F6DB028" w:rsidR="00C34B56" w:rsidRDefault="00936E6D">
      <w:pPr>
        <w:pStyle w:val="BodyText"/>
        <w:ind w:left="127"/>
        <w:rPr>
          <w:rFonts w:asciiTheme="minorHAnsi" w:hAnsiTheme="minorHAnsi" w:cstheme="minorHAnsi"/>
          <w:b w:val="0"/>
        </w:rPr>
      </w:pPr>
      <w:r w:rsidRPr="008F6731">
        <w:rPr>
          <w:rFonts w:asciiTheme="minorHAnsi" w:hAnsiTheme="minorHAnsi" w:cstheme="minorHAnsi"/>
          <w:b w:val="0"/>
        </w:rPr>
        <w:t xml:space="preserve">  Title: </w:t>
      </w:r>
      <w:r w:rsidR="00565AF6">
        <w:rPr>
          <w:rFonts w:asciiTheme="minorHAnsi" w:hAnsiTheme="minorHAnsi" w:cstheme="minorHAnsi"/>
          <w:b w:val="0"/>
        </w:rPr>
        <w:t>Child Nutrition Programs Manager</w:t>
      </w:r>
    </w:p>
    <w:p w14:paraId="2B2F1024" w14:textId="1E0BB15F" w:rsidR="00936E6D" w:rsidRPr="008F6731" w:rsidRDefault="00C34B56" w:rsidP="00C34B56">
      <w:pPr>
        <w:pStyle w:val="BodyText"/>
        <w:ind w:left="127" w:firstLine="593"/>
        <w:rPr>
          <w:rFonts w:asciiTheme="minorHAnsi" w:hAnsiTheme="minorHAnsi" w:cstheme="minorHAnsi"/>
          <w:b w:val="0"/>
        </w:rPr>
      </w:pPr>
      <w:r>
        <w:rPr>
          <w:rFonts w:asciiTheme="minorHAnsi" w:hAnsiTheme="minorHAnsi" w:cstheme="minorHAnsi"/>
          <w:b w:val="0"/>
        </w:rPr>
        <w:t xml:space="preserve"> </w:t>
      </w:r>
      <w:r w:rsidR="00565AF6">
        <w:rPr>
          <w:rFonts w:asciiTheme="minorHAnsi" w:hAnsiTheme="minorHAnsi" w:cstheme="minorHAnsi"/>
          <w:b w:val="0"/>
        </w:rPr>
        <w:t>Alaska Department of Education &amp; Early Development</w:t>
      </w:r>
    </w:p>
    <w:p w14:paraId="3D40D99D" w14:textId="77777777" w:rsidR="00936179" w:rsidRPr="008F6731" w:rsidRDefault="00936179">
      <w:pPr>
        <w:pStyle w:val="BodyText"/>
        <w:ind w:left="127"/>
        <w:rPr>
          <w:rFonts w:asciiTheme="minorHAnsi" w:hAnsiTheme="minorHAnsi" w:cstheme="minorHAnsi"/>
          <w:u w:val="single"/>
        </w:rPr>
      </w:pPr>
    </w:p>
    <w:bookmarkEnd w:id="1"/>
    <w:p w14:paraId="7BE921CA" w14:textId="77777777" w:rsidR="00936179" w:rsidRPr="008F6731" w:rsidRDefault="00936179">
      <w:pPr>
        <w:pStyle w:val="BodyText"/>
        <w:ind w:left="127"/>
        <w:rPr>
          <w:rFonts w:asciiTheme="minorHAnsi" w:hAnsiTheme="minorHAnsi" w:cstheme="minorHAnsi"/>
          <w:u w:val="single"/>
        </w:rPr>
      </w:pPr>
    </w:p>
    <w:p w14:paraId="39C246B5" w14:textId="77777777" w:rsidR="000A2B73" w:rsidRPr="008F6731" w:rsidRDefault="0080127F">
      <w:pPr>
        <w:pStyle w:val="BodyText"/>
        <w:ind w:left="127"/>
        <w:rPr>
          <w:rFonts w:asciiTheme="minorHAnsi" w:hAnsiTheme="minorHAnsi" w:cstheme="minorHAnsi"/>
          <w:u w:val="single"/>
        </w:rPr>
      </w:pPr>
      <w:r w:rsidRPr="008F6731">
        <w:rPr>
          <w:rFonts w:asciiTheme="minorHAnsi" w:hAnsiTheme="minorHAnsi" w:cstheme="minorHAnsi"/>
          <w:u w:val="single"/>
        </w:rPr>
        <w:t>TO BE COMPLETED BY FNS REGIONAL OFFICE:</w:t>
      </w:r>
    </w:p>
    <w:p w14:paraId="6D1F5F33" w14:textId="77777777" w:rsidR="000A2B73" w:rsidRPr="008F6731" w:rsidRDefault="000A2B73">
      <w:pPr>
        <w:pStyle w:val="BodyText"/>
        <w:spacing w:before="7"/>
        <w:rPr>
          <w:rFonts w:asciiTheme="minorHAnsi" w:hAnsiTheme="minorHAnsi" w:cstheme="minorHAnsi"/>
        </w:rPr>
      </w:pPr>
    </w:p>
    <w:p w14:paraId="6794125F" w14:textId="77777777" w:rsidR="000A2B73" w:rsidRPr="008F6731" w:rsidRDefault="0080127F">
      <w:pPr>
        <w:ind w:left="127" w:right="117"/>
        <w:jc w:val="both"/>
        <w:rPr>
          <w:rFonts w:asciiTheme="minorHAnsi" w:hAnsiTheme="minorHAnsi" w:cstheme="minorHAnsi"/>
          <w:i/>
          <w:sz w:val="24"/>
          <w:szCs w:val="24"/>
        </w:rPr>
      </w:pPr>
      <w:r w:rsidRPr="008F6731">
        <w:rPr>
          <w:rFonts w:asciiTheme="minorHAnsi" w:hAnsiTheme="minorHAnsi" w:cstheme="minorHAnsi"/>
          <w:i/>
          <w:sz w:val="24"/>
          <w:szCs w:val="24"/>
        </w:rPr>
        <w:t>FNS Regional Offices are requested to ensure the questions have been adequately addressed by the State agency and formulate an opinion and justification for a response to the waiver</w:t>
      </w:r>
      <w:r w:rsidRPr="008F6731">
        <w:rPr>
          <w:rFonts w:asciiTheme="minorHAnsi" w:hAnsiTheme="minorHAnsi" w:cstheme="minorHAnsi"/>
          <w:i/>
          <w:spacing w:val="-13"/>
          <w:sz w:val="24"/>
          <w:szCs w:val="24"/>
        </w:rPr>
        <w:t xml:space="preserve"> </w:t>
      </w:r>
      <w:r w:rsidRPr="008F6731">
        <w:rPr>
          <w:rFonts w:asciiTheme="minorHAnsi" w:hAnsiTheme="minorHAnsi" w:cstheme="minorHAnsi"/>
          <w:i/>
          <w:sz w:val="24"/>
          <w:szCs w:val="24"/>
        </w:rPr>
        <w:t>request based on their knowledge, experience and work with the</w:t>
      </w:r>
      <w:r w:rsidRPr="008F6731">
        <w:rPr>
          <w:rFonts w:asciiTheme="minorHAnsi" w:hAnsiTheme="minorHAnsi" w:cstheme="minorHAnsi"/>
          <w:i/>
          <w:spacing w:val="-3"/>
          <w:sz w:val="24"/>
          <w:szCs w:val="24"/>
        </w:rPr>
        <w:t xml:space="preserve"> </w:t>
      </w:r>
      <w:r w:rsidRPr="008F6731">
        <w:rPr>
          <w:rFonts w:asciiTheme="minorHAnsi" w:hAnsiTheme="minorHAnsi" w:cstheme="minorHAnsi"/>
          <w:i/>
          <w:sz w:val="24"/>
          <w:szCs w:val="24"/>
        </w:rPr>
        <w:t>State.</w:t>
      </w:r>
    </w:p>
    <w:p w14:paraId="3691C79D" w14:textId="77777777" w:rsidR="000A2B73" w:rsidRPr="008F6731" w:rsidRDefault="000A2B73">
      <w:pPr>
        <w:pStyle w:val="BodyText"/>
        <w:spacing w:before="4"/>
        <w:rPr>
          <w:rFonts w:asciiTheme="minorHAnsi" w:hAnsiTheme="minorHAnsi" w:cstheme="minorHAnsi"/>
          <w:b w:val="0"/>
          <w:i/>
        </w:rPr>
      </w:pPr>
    </w:p>
    <w:p w14:paraId="5C91D6D8" w14:textId="77777777" w:rsidR="00103A8D" w:rsidRPr="00103A8D" w:rsidRDefault="00103A8D" w:rsidP="00103A8D">
      <w:pPr>
        <w:rPr>
          <w:rFonts w:asciiTheme="minorHAnsi" w:hAnsiTheme="minorHAnsi"/>
          <w:b/>
        </w:rPr>
      </w:pPr>
      <w:r w:rsidRPr="00103A8D">
        <w:rPr>
          <w:rFonts w:asciiTheme="minorHAnsi" w:hAnsiTheme="minorHAnsi"/>
          <w:b/>
        </w:rPr>
        <w:t>Date request was received at Regional Office:</w:t>
      </w:r>
    </w:p>
    <w:p w14:paraId="61EBFE79" w14:textId="72F9549C" w:rsidR="00103A8D" w:rsidRPr="00103A8D" w:rsidRDefault="00281968" w:rsidP="00281968">
      <w:pPr>
        <w:pStyle w:val="ListParagraph"/>
        <w:widowControl/>
        <w:autoSpaceDE/>
        <w:autoSpaceDN/>
        <w:spacing w:after="160" w:line="259" w:lineRule="auto"/>
        <w:ind w:left="720" w:firstLine="0"/>
        <w:contextualSpacing/>
        <w:rPr>
          <w:rFonts w:asciiTheme="minorHAnsi" w:hAnsiTheme="minorHAnsi"/>
          <w:b/>
        </w:rPr>
      </w:pPr>
      <w:r>
        <w:rPr>
          <w:rFonts w:asciiTheme="minorHAnsi" w:hAnsiTheme="minorHAnsi"/>
          <w:b/>
        </w:rPr>
        <w:fldChar w:fldCharType="begin">
          <w:ffData>
            <w:name w:val="Check1"/>
            <w:enabled/>
            <w:calcOnExit w:val="0"/>
            <w:statusText w:type="text" w:val="Check this box to confirm that the State agency has provided public notice in accordance with Section 12(l)(1)(A)(ii) of the NSLA"/>
            <w:checkBox>
              <w:sizeAuto/>
              <w:default w:val="0"/>
            </w:checkBox>
          </w:ffData>
        </w:fldChar>
      </w:r>
      <w:bookmarkStart w:id="2" w:name="Check1"/>
      <w:r>
        <w:rPr>
          <w:rFonts w:asciiTheme="minorHAnsi" w:hAnsiTheme="minorHAnsi"/>
          <w:b/>
        </w:rPr>
        <w:instrText xml:space="preserve"> FORMCHECKBOX </w:instrText>
      </w:r>
      <w:r w:rsidR="00DB7529">
        <w:rPr>
          <w:rFonts w:asciiTheme="minorHAnsi" w:hAnsiTheme="minorHAnsi"/>
          <w:b/>
        </w:rPr>
      </w:r>
      <w:r w:rsidR="00DB7529">
        <w:rPr>
          <w:rFonts w:asciiTheme="minorHAnsi" w:hAnsiTheme="minorHAnsi"/>
          <w:b/>
        </w:rPr>
        <w:fldChar w:fldCharType="separate"/>
      </w:r>
      <w:r>
        <w:rPr>
          <w:rFonts w:asciiTheme="minorHAnsi" w:hAnsiTheme="minorHAnsi"/>
          <w:b/>
        </w:rPr>
        <w:fldChar w:fldCharType="end"/>
      </w:r>
      <w:bookmarkEnd w:id="2"/>
      <w:r>
        <w:rPr>
          <w:rFonts w:asciiTheme="minorHAnsi" w:hAnsiTheme="minorHAnsi"/>
          <w:b/>
        </w:rPr>
        <w:t xml:space="preserve"> </w:t>
      </w:r>
      <w:r w:rsidR="00103A8D" w:rsidRPr="00103A8D">
        <w:rPr>
          <w:rFonts w:asciiTheme="minorHAnsi" w:hAnsiTheme="minorHAnsi"/>
          <w:b/>
        </w:rPr>
        <w:t>Check this box to confirm that the State agency has provided public notice in accordance with Section 12(l</w:t>
      </w:r>
      <w:proofErr w:type="gramStart"/>
      <w:r w:rsidR="00103A8D" w:rsidRPr="00103A8D">
        <w:rPr>
          <w:rFonts w:asciiTheme="minorHAnsi" w:hAnsiTheme="minorHAnsi"/>
          <w:b/>
        </w:rPr>
        <w:t>)(</w:t>
      </w:r>
      <w:proofErr w:type="gramEnd"/>
      <w:r w:rsidR="00103A8D" w:rsidRPr="00103A8D">
        <w:rPr>
          <w:rFonts w:asciiTheme="minorHAnsi" w:hAnsiTheme="minorHAnsi"/>
          <w:b/>
        </w:rPr>
        <w:t>1)(A)(ii) of the NSLA</w:t>
      </w:r>
    </w:p>
    <w:p w14:paraId="358E5847" w14:textId="77777777" w:rsidR="00103A8D" w:rsidRPr="00103A8D" w:rsidRDefault="00103A8D" w:rsidP="00103A8D">
      <w:pPr>
        <w:pStyle w:val="ListParagraph"/>
        <w:rPr>
          <w:rFonts w:asciiTheme="minorHAnsi" w:hAnsiTheme="minorHAnsi"/>
          <w:b/>
        </w:rPr>
      </w:pPr>
    </w:p>
    <w:p w14:paraId="30DD59FC" w14:textId="77777777" w:rsidR="00103A8D" w:rsidRPr="00103A8D" w:rsidRDefault="00103A8D" w:rsidP="00103A8D">
      <w:pPr>
        <w:pStyle w:val="ListParagraph"/>
        <w:rPr>
          <w:rFonts w:asciiTheme="minorHAnsi" w:hAnsiTheme="minorHAnsi"/>
          <w:b/>
        </w:rPr>
      </w:pPr>
      <w:r w:rsidRPr="00103A8D">
        <w:rPr>
          <w:rFonts w:asciiTheme="minorHAnsi" w:hAnsiTheme="minorHAnsi"/>
          <w:b/>
        </w:rPr>
        <w:t>Regional Office Analysis and Recommendations:</w:t>
      </w:r>
    </w:p>
    <w:p w14:paraId="5C6C734C" w14:textId="25482A77" w:rsidR="000A2B73" w:rsidRPr="00103A8D" w:rsidRDefault="000A2B73" w:rsidP="00103A8D">
      <w:pPr>
        <w:pStyle w:val="BodyText"/>
        <w:spacing w:before="1"/>
        <w:ind w:left="127"/>
        <w:rPr>
          <w:rFonts w:asciiTheme="minorHAnsi" w:hAnsiTheme="minorHAnsi" w:cstheme="minorHAnsi"/>
          <w:b w:val="0"/>
        </w:rPr>
      </w:pPr>
    </w:p>
    <w:sectPr w:rsidR="000A2B73" w:rsidRPr="00103A8D" w:rsidSect="008F6731">
      <w:footerReference w:type="default" r:id="rId11"/>
      <w:pgSz w:w="12240" w:h="15840"/>
      <w:pgMar w:top="1440" w:right="1152" w:bottom="1440" w:left="115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9B3D9" w14:textId="77777777" w:rsidR="00447F7C" w:rsidRDefault="00447F7C" w:rsidP="00DE1400">
      <w:r>
        <w:separator/>
      </w:r>
    </w:p>
  </w:endnote>
  <w:endnote w:type="continuationSeparator" w:id="0">
    <w:p w14:paraId="6FAE9E29" w14:textId="77777777" w:rsidR="00447F7C" w:rsidRDefault="00447F7C" w:rsidP="00DE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8163F" w14:textId="6ADEC877" w:rsidR="00DE1400" w:rsidRDefault="00565AF6">
    <w:pPr>
      <w:pStyle w:val="Footer"/>
    </w:pPr>
    <w:r>
      <w:t>Alaska</w:t>
    </w:r>
    <w:r w:rsidR="00DE1400">
      <w:t xml:space="preserve"> Waiver Request –</w:t>
    </w:r>
    <w:r w:rsidR="00367972">
      <w:t xml:space="preserve"> Administrative Review Cycle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60135" w14:textId="77777777" w:rsidR="00447F7C" w:rsidRDefault="00447F7C" w:rsidP="00DE1400">
      <w:r>
        <w:separator/>
      </w:r>
    </w:p>
  </w:footnote>
  <w:footnote w:type="continuationSeparator" w:id="0">
    <w:p w14:paraId="7DE1A59A" w14:textId="77777777" w:rsidR="00447F7C" w:rsidRDefault="00447F7C" w:rsidP="00DE1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12DED"/>
    <w:multiLevelType w:val="hybridMultilevel"/>
    <w:tmpl w:val="DE40ED02"/>
    <w:lvl w:ilvl="0" w:tplc="06400C6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42E05"/>
    <w:multiLevelType w:val="hybridMultilevel"/>
    <w:tmpl w:val="664A954C"/>
    <w:lvl w:ilvl="0" w:tplc="04090001">
      <w:start w:val="1"/>
      <w:numFmt w:val="bullet"/>
      <w:lvlText w:val=""/>
      <w:lvlJc w:val="left"/>
      <w:pPr>
        <w:ind w:left="475" w:hanging="360"/>
        <w:jc w:val="right"/>
      </w:pPr>
      <w:rPr>
        <w:rFonts w:ascii="Symbol" w:hAnsi="Symbol" w:hint="default"/>
        <w:b/>
        <w:bCs/>
        <w:spacing w:val="-3"/>
        <w:w w:val="99"/>
        <w:sz w:val="24"/>
        <w:szCs w:val="24"/>
        <w:lang w:val="en-US" w:eastAsia="en-US" w:bidi="en-US"/>
      </w:rPr>
    </w:lvl>
    <w:lvl w:ilvl="1" w:tplc="D1263396">
      <w:start w:val="1"/>
      <w:numFmt w:val="lowerRoman"/>
      <w:lvlText w:val="%2)"/>
      <w:lvlJc w:val="left"/>
      <w:pPr>
        <w:ind w:left="1055" w:hanging="327"/>
        <w:jc w:val="right"/>
      </w:pPr>
      <w:rPr>
        <w:rFonts w:ascii="Times New Roman" w:eastAsia="Times New Roman" w:hAnsi="Times New Roman" w:cs="Times New Roman" w:hint="default"/>
        <w:b/>
        <w:bCs/>
        <w:spacing w:val="-1"/>
        <w:w w:val="100"/>
        <w:sz w:val="24"/>
        <w:szCs w:val="24"/>
        <w:lang w:val="en-US" w:eastAsia="en-US" w:bidi="en-US"/>
      </w:rPr>
    </w:lvl>
    <w:lvl w:ilvl="2" w:tplc="8F9E304A">
      <w:numFmt w:val="bullet"/>
      <w:lvlText w:val="•"/>
      <w:lvlJc w:val="left"/>
      <w:pPr>
        <w:ind w:left="1993" w:hanging="327"/>
      </w:pPr>
      <w:rPr>
        <w:rFonts w:hint="default"/>
        <w:lang w:val="en-US" w:eastAsia="en-US" w:bidi="en-US"/>
      </w:rPr>
    </w:lvl>
    <w:lvl w:ilvl="3" w:tplc="FAA4E75E">
      <w:numFmt w:val="bullet"/>
      <w:lvlText w:val="•"/>
      <w:lvlJc w:val="left"/>
      <w:pPr>
        <w:ind w:left="2926" w:hanging="327"/>
      </w:pPr>
      <w:rPr>
        <w:rFonts w:hint="default"/>
        <w:lang w:val="en-US" w:eastAsia="en-US" w:bidi="en-US"/>
      </w:rPr>
    </w:lvl>
    <w:lvl w:ilvl="4" w:tplc="8C0875F4">
      <w:numFmt w:val="bullet"/>
      <w:lvlText w:val="•"/>
      <w:lvlJc w:val="left"/>
      <w:pPr>
        <w:ind w:left="3860" w:hanging="327"/>
      </w:pPr>
      <w:rPr>
        <w:rFonts w:hint="default"/>
        <w:lang w:val="en-US" w:eastAsia="en-US" w:bidi="en-US"/>
      </w:rPr>
    </w:lvl>
    <w:lvl w:ilvl="5" w:tplc="6EEE3FB6">
      <w:numFmt w:val="bullet"/>
      <w:lvlText w:val="•"/>
      <w:lvlJc w:val="left"/>
      <w:pPr>
        <w:ind w:left="4793" w:hanging="327"/>
      </w:pPr>
      <w:rPr>
        <w:rFonts w:hint="default"/>
        <w:lang w:val="en-US" w:eastAsia="en-US" w:bidi="en-US"/>
      </w:rPr>
    </w:lvl>
    <w:lvl w:ilvl="6" w:tplc="74B23D22">
      <w:numFmt w:val="bullet"/>
      <w:lvlText w:val="•"/>
      <w:lvlJc w:val="left"/>
      <w:pPr>
        <w:ind w:left="5726" w:hanging="327"/>
      </w:pPr>
      <w:rPr>
        <w:rFonts w:hint="default"/>
        <w:lang w:val="en-US" w:eastAsia="en-US" w:bidi="en-US"/>
      </w:rPr>
    </w:lvl>
    <w:lvl w:ilvl="7" w:tplc="C472D9FE">
      <w:numFmt w:val="bullet"/>
      <w:lvlText w:val="•"/>
      <w:lvlJc w:val="left"/>
      <w:pPr>
        <w:ind w:left="6660" w:hanging="327"/>
      </w:pPr>
      <w:rPr>
        <w:rFonts w:hint="default"/>
        <w:lang w:val="en-US" w:eastAsia="en-US" w:bidi="en-US"/>
      </w:rPr>
    </w:lvl>
    <w:lvl w:ilvl="8" w:tplc="69848ADE">
      <w:numFmt w:val="bullet"/>
      <w:lvlText w:val="•"/>
      <w:lvlJc w:val="left"/>
      <w:pPr>
        <w:ind w:left="7593" w:hanging="327"/>
      </w:pPr>
      <w:rPr>
        <w:rFonts w:hint="default"/>
        <w:lang w:val="en-US" w:eastAsia="en-US" w:bidi="en-US"/>
      </w:rPr>
    </w:lvl>
  </w:abstractNum>
  <w:abstractNum w:abstractNumId="2" w15:restartNumberingAfterBreak="0">
    <w:nsid w:val="0EF503C2"/>
    <w:multiLevelType w:val="hybridMultilevel"/>
    <w:tmpl w:val="BF2A22EE"/>
    <w:lvl w:ilvl="0" w:tplc="D8FE461A">
      <w:start w:val="1"/>
      <w:numFmt w:val="lowerRoman"/>
      <w:lvlText w:val="%1)"/>
      <w:lvlJc w:val="left"/>
      <w:pPr>
        <w:ind w:left="1051" w:hanging="317"/>
      </w:pPr>
      <w:rPr>
        <w:rFonts w:hint="default"/>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3" w15:restartNumberingAfterBreak="0">
    <w:nsid w:val="116D3CD1"/>
    <w:multiLevelType w:val="hybridMultilevel"/>
    <w:tmpl w:val="73829F20"/>
    <w:lvl w:ilvl="0" w:tplc="F4724F26">
      <w:start w:val="1"/>
      <w:numFmt w:val="decimal"/>
      <w:lvlText w:val="%1."/>
      <w:lvlJc w:val="left"/>
      <w:pPr>
        <w:ind w:left="475" w:hanging="360"/>
        <w:jc w:val="right"/>
      </w:pPr>
      <w:rPr>
        <w:rFonts w:ascii="Times New Roman" w:eastAsia="Times New Roman" w:hAnsi="Times New Roman" w:cs="Times New Roman" w:hint="default"/>
        <w:b/>
        <w:bCs/>
        <w:spacing w:val="-3"/>
        <w:w w:val="99"/>
        <w:sz w:val="24"/>
        <w:szCs w:val="24"/>
        <w:lang w:val="en-US" w:eastAsia="en-US" w:bidi="en-US"/>
      </w:rPr>
    </w:lvl>
    <w:lvl w:ilvl="1" w:tplc="D1263396">
      <w:start w:val="1"/>
      <w:numFmt w:val="lowerRoman"/>
      <w:lvlText w:val="%2)"/>
      <w:lvlJc w:val="left"/>
      <w:pPr>
        <w:ind w:left="1055" w:hanging="327"/>
        <w:jc w:val="right"/>
      </w:pPr>
      <w:rPr>
        <w:rFonts w:ascii="Times New Roman" w:eastAsia="Times New Roman" w:hAnsi="Times New Roman" w:cs="Times New Roman" w:hint="default"/>
        <w:b/>
        <w:bCs/>
        <w:spacing w:val="-1"/>
        <w:w w:val="100"/>
        <w:sz w:val="24"/>
        <w:szCs w:val="24"/>
        <w:lang w:val="en-US" w:eastAsia="en-US" w:bidi="en-US"/>
      </w:rPr>
    </w:lvl>
    <w:lvl w:ilvl="2" w:tplc="8F9E304A">
      <w:numFmt w:val="bullet"/>
      <w:lvlText w:val="•"/>
      <w:lvlJc w:val="left"/>
      <w:pPr>
        <w:ind w:left="1993" w:hanging="327"/>
      </w:pPr>
      <w:rPr>
        <w:rFonts w:hint="default"/>
        <w:lang w:val="en-US" w:eastAsia="en-US" w:bidi="en-US"/>
      </w:rPr>
    </w:lvl>
    <w:lvl w:ilvl="3" w:tplc="FAA4E75E">
      <w:numFmt w:val="bullet"/>
      <w:lvlText w:val="•"/>
      <w:lvlJc w:val="left"/>
      <w:pPr>
        <w:ind w:left="2926" w:hanging="327"/>
      </w:pPr>
      <w:rPr>
        <w:rFonts w:hint="default"/>
        <w:lang w:val="en-US" w:eastAsia="en-US" w:bidi="en-US"/>
      </w:rPr>
    </w:lvl>
    <w:lvl w:ilvl="4" w:tplc="8C0875F4">
      <w:numFmt w:val="bullet"/>
      <w:lvlText w:val="•"/>
      <w:lvlJc w:val="left"/>
      <w:pPr>
        <w:ind w:left="3860" w:hanging="327"/>
      </w:pPr>
      <w:rPr>
        <w:rFonts w:hint="default"/>
        <w:lang w:val="en-US" w:eastAsia="en-US" w:bidi="en-US"/>
      </w:rPr>
    </w:lvl>
    <w:lvl w:ilvl="5" w:tplc="6EEE3FB6">
      <w:numFmt w:val="bullet"/>
      <w:lvlText w:val="•"/>
      <w:lvlJc w:val="left"/>
      <w:pPr>
        <w:ind w:left="4793" w:hanging="327"/>
      </w:pPr>
      <w:rPr>
        <w:rFonts w:hint="default"/>
        <w:lang w:val="en-US" w:eastAsia="en-US" w:bidi="en-US"/>
      </w:rPr>
    </w:lvl>
    <w:lvl w:ilvl="6" w:tplc="74B23D22">
      <w:numFmt w:val="bullet"/>
      <w:lvlText w:val="•"/>
      <w:lvlJc w:val="left"/>
      <w:pPr>
        <w:ind w:left="5726" w:hanging="327"/>
      </w:pPr>
      <w:rPr>
        <w:rFonts w:hint="default"/>
        <w:lang w:val="en-US" w:eastAsia="en-US" w:bidi="en-US"/>
      </w:rPr>
    </w:lvl>
    <w:lvl w:ilvl="7" w:tplc="C472D9FE">
      <w:numFmt w:val="bullet"/>
      <w:lvlText w:val="•"/>
      <w:lvlJc w:val="left"/>
      <w:pPr>
        <w:ind w:left="6660" w:hanging="327"/>
      </w:pPr>
      <w:rPr>
        <w:rFonts w:hint="default"/>
        <w:lang w:val="en-US" w:eastAsia="en-US" w:bidi="en-US"/>
      </w:rPr>
    </w:lvl>
    <w:lvl w:ilvl="8" w:tplc="69848ADE">
      <w:numFmt w:val="bullet"/>
      <w:lvlText w:val="•"/>
      <w:lvlJc w:val="left"/>
      <w:pPr>
        <w:ind w:left="7593" w:hanging="327"/>
      </w:pPr>
      <w:rPr>
        <w:rFonts w:hint="default"/>
        <w:lang w:val="en-US" w:eastAsia="en-US" w:bidi="en-US"/>
      </w:rPr>
    </w:lvl>
  </w:abstractNum>
  <w:abstractNum w:abstractNumId="4" w15:restartNumberingAfterBreak="0">
    <w:nsid w:val="1CF1006F"/>
    <w:multiLevelType w:val="hybridMultilevel"/>
    <w:tmpl w:val="7C4CE7CA"/>
    <w:lvl w:ilvl="0" w:tplc="B386AE50">
      <w:numFmt w:val="bullet"/>
      <w:lvlText w:val="◻"/>
      <w:lvlJc w:val="left"/>
      <w:pPr>
        <w:ind w:left="767" w:hanging="360"/>
      </w:pPr>
      <w:rPr>
        <w:rFonts w:ascii="Symbol" w:eastAsia="Symbol" w:hAnsi="Symbol" w:cs="Symbol" w:hint="default"/>
        <w:w w:val="100"/>
        <w:sz w:val="24"/>
        <w:szCs w:val="24"/>
        <w:lang w:val="en-US" w:eastAsia="en-US" w:bidi="en-US"/>
      </w:rPr>
    </w:lvl>
    <w:lvl w:ilvl="1" w:tplc="A210E0E0">
      <w:numFmt w:val="bullet"/>
      <w:lvlText w:val="•"/>
      <w:lvlJc w:val="left"/>
      <w:pPr>
        <w:ind w:left="1630" w:hanging="360"/>
      </w:pPr>
      <w:rPr>
        <w:rFonts w:hint="default"/>
        <w:lang w:val="en-US" w:eastAsia="en-US" w:bidi="en-US"/>
      </w:rPr>
    </w:lvl>
    <w:lvl w:ilvl="2" w:tplc="804C410E">
      <w:numFmt w:val="bullet"/>
      <w:lvlText w:val="•"/>
      <w:lvlJc w:val="left"/>
      <w:pPr>
        <w:ind w:left="2500" w:hanging="360"/>
      </w:pPr>
      <w:rPr>
        <w:rFonts w:hint="default"/>
        <w:lang w:val="en-US" w:eastAsia="en-US" w:bidi="en-US"/>
      </w:rPr>
    </w:lvl>
    <w:lvl w:ilvl="3" w:tplc="39DE6982">
      <w:numFmt w:val="bullet"/>
      <w:lvlText w:val="•"/>
      <w:lvlJc w:val="left"/>
      <w:pPr>
        <w:ind w:left="3370" w:hanging="360"/>
      </w:pPr>
      <w:rPr>
        <w:rFonts w:hint="default"/>
        <w:lang w:val="en-US" w:eastAsia="en-US" w:bidi="en-US"/>
      </w:rPr>
    </w:lvl>
    <w:lvl w:ilvl="4" w:tplc="3F341B3E">
      <w:numFmt w:val="bullet"/>
      <w:lvlText w:val="•"/>
      <w:lvlJc w:val="left"/>
      <w:pPr>
        <w:ind w:left="4240" w:hanging="360"/>
      </w:pPr>
      <w:rPr>
        <w:rFonts w:hint="default"/>
        <w:lang w:val="en-US" w:eastAsia="en-US" w:bidi="en-US"/>
      </w:rPr>
    </w:lvl>
    <w:lvl w:ilvl="5" w:tplc="9B18780E">
      <w:numFmt w:val="bullet"/>
      <w:lvlText w:val="•"/>
      <w:lvlJc w:val="left"/>
      <w:pPr>
        <w:ind w:left="5110" w:hanging="360"/>
      </w:pPr>
      <w:rPr>
        <w:rFonts w:hint="default"/>
        <w:lang w:val="en-US" w:eastAsia="en-US" w:bidi="en-US"/>
      </w:rPr>
    </w:lvl>
    <w:lvl w:ilvl="6" w:tplc="14B25446">
      <w:numFmt w:val="bullet"/>
      <w:lvlText w:val="•"/>
      <w:lvlJc w:val="left"/>
      <w:pPr>
        <w:ind w:left="5980" w:hanging="360"/>
      </w:pPr>
      <w:rPr>
        <w:rFonts w:hint="default"/>
        <w:lang w:val="en-US" w:eastAsia="en-US" w:bidi="en-US"/>
      </w:rPr>
    </w:lvl>
    <w:lvl w:ilvl="7" w:tplc="611012E6">
      <w:numFmt w:val="bullet"/>
      <w:lvlText w:val="•"/>
      <w:lvlJc w:val="left"/>
      <w:pPr>
        <w:ind w:left="6850" w:hanging="360"/>
      </w:pPr>
      <w:rPr>
        <w:rFonts w:hint="default"/>
        <w:lang w:val="en-US" w:eastAsia="en-US" w:bidi="en-US"/>
      </w:rPr>
    </w:lvl>
    <w:lvl w:ilvl="8" w:tplc="6142AAAC">
      <w:numFmt w:val="bullet"/>
      <w:lvlText w:val="•"/>
      <w:lvlJc w:val="left"/>
      <w:pPr>
        <w:ind w:left="7720" w:hanging="360"/>
      </w:pPr>
      <w:rPr>
        <w:rFonts w:hint="default"/>
        <w:lang w:val="en-US" w:eastAsia="en-US" w:bidi="en-US"/>
      </w:rPr>
    </w:lvl>
  </w:abstractNum>
  <w:abstractNum w:abstractNumId="5" w15:restartNumberingAfterBreak="0">
    <w:nsid w:val="27B874F0"/>
    <w:multiLevelType w:val="hybridMultilevel"/>
    <w:tmpl w:val="BF2A22EE"/>
    <w:lvl w:ilvl="0" w:tplc="D8FE461A">
      <w:start w:val="1"/>
      <w:numFmt w:val="lowerRoman"/>
      <w:lvlText w:val="%1)"/>
      <w:lvlJc w:val="left"/>
      <w:pPr>
        <w:ind w:left="1051" w:hanging="317"/>
      </w:pPr>
      <w:rPr>
        <w:rFonts w:hint="default"/>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6" w15:restartNumberingAfterBreak="0">
    <w:nsid w:val="383506B4"/>
    <w:multiLevelType w:val="hybridMultilevel"/>
    <w:tmpl w:val="4180375E"/>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7" w15:restartNumberingAfterBreak="0">
    <w:nsid w:val="3E713C5B"/>
    <w:multiLevelType w:val="hybridMultilevel"/>
    <w:tmpl w:val="64A820CC"/>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8" w15:restartNumberingAfterBreak="0">
    <w:nsid w:val="427539D2"/>
    <w:multiLevelType w:val="hybridMultilevel"/>
    <w:tmpl w:val="DCCAC558"/>
    <w:lvl w:ilvl="0" w:tplc="2C7270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30324C"/>
    <w:multiLevelType w:val="hybridMultilevel"/>
    <w:tmpl w:val="B12697EE"/>
    <w:lvl w:ilvl="0" w:tplc="D1263396">
      <w:start w:val="1"/>
      <w:numFmt w:val="lowerRoman"/>
      <w:lvlText w:val="%1)"/>
      <w:lvlJc w:val="left"/>
      <w:pPr>
        <w:ind w:left="1080" w:hanging="360"/>
      </w:pPr>
      <w:rPr>
        <w:rFonts w:ascii="Times New Roman" w:eastAsia="Times New Roman" w:hAnsi="Times New Roman" w:cs="Times New Roman" w:hint="default"/>
        <w:b/>
        <w:bCs/>
        <w:spacing w:val="-1"/>
        <w:w w:val="100"/>
        <w:sz w:val="24"/>
        <w:szCs w:val="24"/>
        <w:lang w:val="en-US" w:eastAsia="en-US" w:bidi="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C24E6B"/>
    <w:multiLevelType w:val="hybridMultilevel"/>
    <w:tmpl w:val="65840B0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54697C50"/>
    <w:multiLevelType w:val="hybridMultilevel"/>
    <w:tmpl w:val="DF3A50B4"/>
    <w:lvl w:ilvl="0" w:tplc="EC7AB7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DD0FA5"/>
    <w:multiLevelType w:val="hybridMultilevel"/>
    <w:tmpl w:val="B86A2D54"/>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3" w15:restartNumberingAfterBreak="0">
    <w:nsid w:val="68E27D8C"/>
    <w:multiLevelType w:val="hybridMultilevel"/>
    <w:tmpl w:val="788E6B16"/>
    <w:lvl w:ilvl="0" w:tplc="D1263396">
      <w:start w:val="1"/>
      <w:numFmt w:val="lowerRoman"/>
      <w:lvlText w:val="%1)"/>
      <w:lvlJc w:val="left"/>
      <w:pPr>
        <w:ind w:left="1080" w:hanging="360"/>
      </w:pPr>
      <w:rPr>
        <w:rFonts w:ascii="Times New Roman" w:eastAsia="Times New Roman" w:hAnsi="Times New Roman" w:cs="Times New Roman" w:hint="default"/>
        <w:b/>
        <w:bCs/>
        <w:spacing w:val="-1"/>
        <w:w w:val="100"/>
        <w:sz w:val="24"/>
        <w:szCs w:val="24"/>
        <w:lang w:val="en-US" w:eastAsia="en-US" w:bidi="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EC66DD"/>
    <w:multiLevelType w:val="hybridMultilevel"/>
    <w:tmpl w:val="05A61B52"/>
    <w:lvl w:ilvl="0" w:tplc="895E6C0A">
      <w:numFmt w:val="bullet"/>
      <w:lvlText w:val=""/>
      <w:lvlJc w:val="left"/>
      <w:pPr>
        <w:ind w:left="685" w:hanging="360"/>
      </w:pPr>
      <w:rPr>
        <w:rFonts w:ascii="Symbol" w:eastAsia="Symbol" w:hAnsi="Symbol" w:cs="Symbol" w:hint="default"/>
        <w:w w:val="100"/>
        <w:sz w:val="24"/>
        <w:szCs w:val="24"/>
        <w:lang w:val="en-US" w:eastAsia="en-US" w:bidi="en-US"/>
      </w:rPr>
    </w:lvl>
    <w:lvl w:ilvl="1" w:tplc="31D2BEDE">
      <w:numFmt w:val="bullet"/>
      <w:lvlText w:val="•"/>
      <w:lvlJc w:val="left"/>
      <w:pPr>
        <w:ind w:left="1558" w:hanging="360"/>
      </w:pPr>
      <w:rPr>
        <w:rFonts w:hint="default"/>
        <w:lang w:val="en-US" w:eastAsia="en-US" w:bidi="en-US"/>
      </w:rPr>
    </w:lvl>
    <w:lvl w:ilvl="2" w:tplc="C4487AFE">
      <w:numFmt w:val="bullet"/>
      <w:lvlText w:val="•"/>
      <w:lvlJc w:val="left"/>
      <w:pPr>
        <w:ind w:left="2436" w:hanging="360"/>
      </w:pPr>
      <w:rPr>
        <w:rFonts w:hint="default"/>
        <w:lang w:val="en-US" w:eastAsia="en-US" w:bidi="en-US"/>
      </w:rPr>
    </w:lvl>
    <w:lvl w:ilvl="3" w:tplc="0340E7F4">
      <w:numFmt w:val="bullet"/>
      <w:lvlText w:val="•"/>
      <w:lvlJc w:val="left"/>
      <w:pPr>
        <w:ind w:left="3314" w:hanging="360"/>
      </w:pPr>
      <w:rPr>
        <w:rFonts w:hint="default"/>
        <w:lang w:val="en-US" w:eastAsia="en-US" w:bidi="en-US"/>
      </w:rPr>
    </w:lvl>
    <w:lvl w:ilvl="4" w:tplc="27F2F342">
      <w:numFmt w:val="bullet"/>
      <w:lvlText w:val="•"/>
      <w:lvlJc w:val="left"/>
      <w:pPr>
        <w:ind w:left="4192" w:hanging="360"/>
      </w:pPr>
      <w:rPr>
        <w:rFonts w:hint="default"/>
        <w:lang w:val="en-US" w:eastAsia="en-US" w:bidi="en-US"/>
      </w:rPr>
    </w:lvl>
    <w:lvl w:ilvl="5" w:tplc="AB00BD30">
      <w:numFmt w:val="bullet"/>
      <w:lvlText w:val="•"/>
      <w:lvlJc w:val="left"/>
      <w:pPr>
        <w:ind w:left="5070" w:hanging="360"/>
      </w:pPr>
      <w:rPr>
        <w:rFonts w:hint="default"/>
        <w:lang w:val="en-US" w:eastAsia="en-US" w:bidi="en-US"/>
      </w:rPr>
    </w:lvl>
    <w:lvl w:ilvl="6" w:tplc="4C468F78">
      <w:numFmt w:val="bullet"/>
      <w:lvlText w:val="•"/>
      <w:lvlJc w:val="left"/>
      <w:pPr>
        <w:ind w:left="5948" w:hanging="360"/>
      </w:pPr>
      <w:rPr>
        <w:rFonts w:hint="default"/>
        <w:lang w:val="en-US" w:eastAsia="en-US" w:bidi="en-US"/>
      </w:rPr>
    </w:lvl>
    <w:lvl w:ilvl="7" w:tplc="65144F60">
      <w:numFmt w:val="bullet"/>
      <w:lvlText w:val="•"/>
      <w:lvlJc w:val="left"/>
      <w:pPr>
        <w:ind w:left="6826" w:hanging="360"/>
      </w:pPr>
      <w:rPr>
        <w:rFonts w:hint="default"/>
        <w:lang w:val="en-US" w:eastAsia="en-US" w:bidi="en-US"/>
      </w:rPr>
    </w:lvl>
    <w:lvl w:ilvl="8" w:tplc="818AFEF8">
      <w:numFmt w:val="bullet"/>
      <w:lvlText w:val="•"/>
      <w:lvlJc w:val="left"/>
      <w:pPr>
        <w:ind w:left="7704" w:hanging="360"/>
      </w:pPr>
      <w:rPr>
        <w:rFonts w:hint="default"/>
        <w:lang w:val="en-US" w:eastAsia="en-US" w:bidi="en-US"/>
      </w:rPr>
    </w:lvl>
  </w:abstractNum>
  <w:abstractNum w:abstractNumId="15" w15:restartNumberingAfterBreak="0">
    <w:nsid w:val="7AD50F3E"/>
    <w:multiLevelType w:val="hybridMultilevel"/>
    <w:tmpl w:val="E1867000"/>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6" w15:restartNumberingAfterBreak="0">
    <w:nsid w:val="7D29678D"/>
    <w:multiLevelType w:val="hybridMultilevel"/>
    <w:tmpl w:val="15F4AEBA"/>
    <w:lvl w:ilvl="0" w:tplc="3558013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4"/>
  </w:num>
  <w:num w:numId="3">
    <w:abstractNumId w:val="1"/>
  </w:num>
  <w:num w:numId="4">
    <w:abstractNumId w:val="3"/>
  </w:num>
  <w:num w:numId="5">
    <w:abstractNumId w:val="9"/>
  </w:num>
  <w:num w:numId="6">
    <w:abstractNumId w:val="13"/>
  </w:num>
  <w:num w:numId="7">
    <w:abstractNumId w:val="16"/>
  </w:num>
  <w:num w:numId="8">
    <w:abstractNumId w:val="11"/>
  </w:num>
  <w:num w:numId="9">
    <w:abstractNumId w:val="2"/>
  </w:num>
  <w:num w:numId="10">
    <w:abstractNumId w:val="5"/>
  </w:num>
  <w:num w:numId="11">
    <w:abstractNumId w:val="8"/>
  </w:num>
  <w:num w:numId="12">
    <w:abstractNumId w:val="6"/>
  </w:num>
  <w:num w:numId="13">
    <w:abstractNumId w:val="10"/>
  </w:num>
  <w:num w:numId="14">
    <w:abstractNumId w:val="7"/>
  </w:num>
  <w:num w:numId="15">
    <w:abstractNumId w:val="12"/>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B73"/>
    <w:rsid w:val="00007742"/>
    <w:rsid w:val="00033FDE"/>
    <w:rsid w:val="000A2B73"/>
    <w:rsid w:val="00103A8D"/>
    <w:rsid w:val="00127523"/>
    <w:rsid w:val="001346A3"/>
    <w:rsid w:val="001E2061"/>
    <w:rsid w:val="002736F3"/>
    <w:rsid w:val="00281968"/>
    <w:rsid w:val="0030156F"/>
    <w:rsid w:val="003204F4"/>
    <w:rsid w:val="00367972"/>
    <w:rsid w:val="00387374"/>
    <w:rsid w:val="00411733"/>
    <w:rsid w:val="00447F7C"/>
    <w:rsid w:val="0045695B"/>
    <w:rsid w:val="004B280D"/>
    <w:rsid w:val="004C58A4"/>
    <w:rsid w:val="004E6116"/>
    <w:rsid w:val="004F0C2C"/>
    <w:rsid w:val="00565AF6"/>
    <w:rsid w:val="005C27BA"/>
    <w:rsid w:val="006712A3"/>
    <w:rsid w:val="00685B34"/>
    <w:rsid w:val="00690900"/>
    <w:rsid w:val="00711E85"/>
    <w:rsid w:val="0073441E"/>
    <w:rsid w:val="007373D1"/>
    <w:rsid w:val="007458CB"/>
    <w:rsid w:val="00746B7C"/>
    <w:rsid w:val="007C2EC3"/>
    <w:rsid w:val="0080127F"/>
    <w:rsid w:val="00825734"/>
    <w:rsid w:val="008F6731"/>
    <w:rsid w:val="00925D9A"/>
    <w:rsid w:val="0093577F"/>
    <w:rsid w:val="00936179"/>
    <w:rsid w:val="00936E6D"/>
    <w:rsid w:val="009572E5"/>
    <w:rsid w:val="009E7392"/>
    <w:rsid w:val="009F1E70"/>
    <w:rsid w:val="00A0128A"/>
    <w:rsid w:val="00A94681"/>
    <w:rsid w:val="00AB192C"/>
    <w:rsid w:val="00B2356F"/>
    <w:rsid w:val="00B42293"/>
    <w:rsid w:val="00BE216B"/>
    <w:rsid w:val="00C34B56"/>
    <w:rsid w:val="00D805C5"/>
    <w:rsid w:val="00DB7529"/>
    <w:rsid w:val="00DE1400"/>
    <w:rsid w:val="00DE17EB"/>
    <w:rsid w:val="00DE36EB"/>
    <w:rsid w:val="00DF33B7"/>
    <w:rsid w:val="00E269B5"/>
    <w:rsid w:val="00EE4C08"/>
    <w:rsid w:val="00EF715E"/>
    <w:rsid w:val="00F56DC2"/>
    <w:rsid w:val="00F61BC3"/>
    <w:rsid w:val="00F62C3A"/>
    <w:rsid w:val="00F63CCA"/>
    <w:rsid w:val="00F65C48"/>
    <w:rsid w:val="00F75F71"/>
    <w:rsid w:val="00F81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831F6"/>
  <w15:docId w15:val="{1C296FEF-BD8D-4A73-ADEA-AFD1DA57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34"/>
    <w:qFormat/>
    <w:pPr>
      <w:ind w:left="64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373D1"/>
    <w:rPr>
      <w:sz w:val="16"/>
      <w:szCs w:val="16"/>
    </w:rPr>
  </w:style>
  <w:style w:type="paragraph" w:styleId="CommentText">
    <w:name w:val="annotation text"/>
    <w:basedOn w:val="Normal"/>
    <w:link w:val="CommentTextChar"/>
    <w:uiPriority w:val="99"/>
    <w:semiHidden/>
    <w:unhideWhenUsed/>
    <w:rsid w:val="007373D1"/>
    <w:rPr>
      <w:sz w:val="20"/>
      <w:szCs w:val="20"/>
    </w:rPr>
  </w:style>
  <w:style w:type="character" w:customStyle="1" w:styleId="CommentTextChar">
    <w:name w:val="Comment Text Char"/>
    <w:basedOn w:val="DefaultParagraphFont"/>
    <w:link w:val="CommentText"/>
    <w:uiPriority w:val="99"/>
    <w:semiHidden/>
    <w:rsid w:val="007373D1"/>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7373D1"/>
    <w:rPr>
      <w:b/>
      <w:bCs/>
    </w:rPr>
  </w:style>
  <w:style w:type="character" w:customStyle="1" w:styleId="CommentSubjectChar">
    <w:name w:val="Comment Subject Char"/>
    <w:basedOn w:val="CommentTextChar"/>
    <w:link w:val="CommentSubject"/>
    <w:uiPriority w:val="99"/>
    <w:semiHidden/>
    <w:rsid w:val="007373D1"/>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7373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3D1"/>
    <w:rPr>
      <w:rFonts w:ascii="Segoe UI" w:eastAsia="Times New Roman" w:hAnsi="Segoe UI" w:cs="Segoe UI"/>
      <w:sz w:val="18"/>
      <w:szCs w:val="18"/>
      <w:lang w:bidi="en-US"/>
    </w:rPr>
  </w:style>
  <w:style w:type="character" w:styleId="Hyperlink">
    <w:name w:val="Hyperlink"/>
    <w:basedOn w:val="DefaultParagraphFont"/>
    <w:uiPriority w:val="99"/>
    <w:unhideWhenUsed/>
    <w:rsid w:val="00936E6D"/>
    <w:rPr>
      <w:color w:val="0000FF" w:themeColor="hyperlink"/>
      <w:u w:val="single"/>
    </w:rPr>
  </w:style>
  <w:style w:type="paragraph" w:styleId="Header">
    <w:name w:val="header"/>
    <w:basedOn w:val="Normal"/>
    <w:link w:val="HeaderChar"/>
    <w:uiPriority w:val="99"/>
    <w:unhideWhenUsed/>
    <w:rsid w:val="00DE1400"/>
    <w:pPr>
      <w:tabs>
        <w:tab w:val="center" w:pos="4680"/>
        <w:tab w:val="right" w:pos="9360"/>
      </w:tabs>
    </w:pPr>
  </w:style>
  <w:style w:type="character" w:customStyle="1" w:styleId="HeaderChar">
    <w:name w:val="Header Char"/>
    <w:basedOn w:val="DefaultParagraphFont"/>
    <w:link w:val="Header"/>
    <w:uiPriority w:val="99"/>
    <w:rsid w:val="00DE1400"/>
    <w:rPr>
      <w:rFonts w:ascii="Times New Roman" w:eastAsia="Times New Roman" w:hAnsi="Times New Roman" w:cs="Times New Roman"/>
      <w:lang w:bidi="en-US"/>
    </w:rPr>
  </w:style>
  <w:style w:type="paragraph" w:styleId="Footer">
    <w:name w:val="footer"/>
    <w:basedOn w:val="Normal"/>
    <w:link w:val="FooterChar"/>
    <w:uiPriority w:val="99"/>
    <w:unhideWhenUsed/>
    <w:rsid w:val="00DE1400"/>
    <w:pPr>
      <w:tabs>
        <w:tab w:val="center" w:pos="4680"/>
        <w:tab w:val="right" w:pos="9360"/>
      </w:tabs>
    </w:pPr>
  </w:style>
  <w:style w:type="character" w:customStyle="1" w:styleId="FooterChar">
    <w:name w:val="Footer Char"/>
    <w:basedOn w:val="DefaultParagraphFont"/>
    <w:link w:val="Footer"/>
    <w:uiPriority w:val="99"/>
    <w:rsid w:val="00DE1400"/>
    <w:rPr>
      <w:rFonts w:ascii="Times New Roman" w:eastAsia="Times New Roman" w:hAnsi="Times New Roman" w:cs="Times New Roman"/>
      <w:lang w:bidi="en-US"/>
    </w:rPr>
  </w:style>
  <w:style w:type="character" w:customStyle="1" w:styleId="UnresolvedMention">
    <w:name w:val="Unresolved Mention"/>
    <w:basedOn w:val="DefaultParagraphFont"/>
    <w:uiPriority w:val="99"/>
    <w:semiHidden/>
    <w:unhideWhenUsed/>
    <w:rsid w:val="00273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alaska.gov/cn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dawson@alask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jo.dawson@alaska.gov"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3</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SP 15-2018, CACFP 12-2018, SFSP 05-2018 Child Nutrition Program Waiver Request Guidance and Protocol- Revised</vt:lpstr>
    </vt:vector>
  </TitlesOfParts>
  <Company>USDA-FNS</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15-2018, CACFP 12-2018, SFSP 05-2018 Child Nutrition Program Waiver Request Guidance and Protocol- Revised</dc:title>
  <dc:creator>Microsoft Office User</dc:creator>
  <cp:lastModifiedBy>Hysell, Dan J (EED)</cp:lastModifiedBy>
  <cp:revision>7</cp:revision>
  <cp:lastPrinted>2019-05-07T21:15:00Z</cp:lastPrinted>
  <dcterms:created xsi:type="dcterms:W3CDTF">2019-05-15T17:25:00Z</dcterms:created>
  <dcterms:modified xsi:type="dcterms:W3CDTF">2019-05-21T16:10:00Z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2018-05-30T00:00:00Z</vt:filetime>
  </property>
  <property fmtid="{D5CDD505-2E9C-101B-9397-08002B2CF9AE}" pid="3" name="Creator">
    <vt:lpwstr>Microsoft® Word 2010</vt:lpwstr>
  </property>
  <property fmtid="{D5CDD505-2E9C-101B-9397-08002B2CF9AE}" pid="4" name="LastSaved">
    <vt:filetime>2018-11-06T00:00:00Z</vt:filetime>
  </property>
</Properties>
</file>